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MRPL Mangalore Refinery — Fluid Catalytic Cracking Unit (FCCU)</w:t>
      </w:r>
    </w:p>
    <w:p>
      <w:pPr>
        <w:pStyle w:val="Heading1"/>
      </w:pPr>
      <w:r>
        <w:t>Standard Operating Manual &amp; Technical Specifications (Document ID: MRPL-SOP-FCCU-2026)</w:t>
      </w:r>
    </w:p>
    <w:p>
      <w:pPr>
        <w:pStyle w:val="Heading2"/>
      </w:pPr>
      <w:r>
        <w:t>1. Unit Overview &amp; Process Chemistry</w:t>
      </w:r>
    </w:p>
    <w:p>
      <w:r>
        <w:t>The Fluid Catalytic Cracking Unit (FCCU) at Mangalore Refinery processes heavy vacuum gas oil (HVGO) and atmospheric residue blends into high-octane gasoline, light cycle oil (LCO), and LPG. The reaction takes place in a vertical riser reactor with zeolite catalyst particles fluidised by hydrocarbon vapors.</w:t>
      </w:r>
    </w:p>
    <w:p>
      <w:pPr>
        <w:pStyle w:val="Heading2"/>
      </w:pPr>
      <w:r>
        <w:t>2. Normal Operating Limits &amp; Critical Parameter Matrix</w:t>
      </w:r>
    </w:p>
    <w:tbl>
      <w:tblPr>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Instrument Tag</w:t>
            </w:r>
          </w:p>
        </w:tc>
        <w:tc>
          <w:tcPr>
            <w:tcW w:type="dxa" w:w="2160"/>
          </w:tcPr>
          <w:p>
            <w:r>
              <w:t>Normal Range</w:t>
            </w:r>
          </w:p>
        </w:tc>
        <w:tc>
          <w:tcPr>
            <w:tcW w:type="dxa" w:w="2160"/>
          </w:tcPr>
          <w:p>
            <w:r>
              <w:t>Trip Limit / Interlock</w:t>
            </w:r>
          </w:p>
        </w:tc>
      </w:tr>
      <w:tr>
        <w:tc>
          <w:tcPr>
            <w:tcW w:type="dxa" w:w="2160"/>
          </w:tcPr>
          <w:p>
            <w:r>
              <w:t>Riser Reactor Outlet Temperature</w:t>
            </w:r>
          </w:p>
        </w:tc>
        <w:tc>
          <w:tcPr>
            <w:tcW w:type="dxa" w:w="2160"/>
          </w:tcPr>
          <w:p>
            <w:r>
              <w:t>TI-201A/B</w:t>
            </w:r>
          </w:p>
        </w:tc>
        <w:tc>
          <w:tcPr>
            <w:tcW w:type="dxa" w:w="2160"/>
          </w:tcPr>
          <w:p>
            <w:r>
              <w:t>520°C – 540°C</w:t>
            </w:r>
          </w:p>
        </w:tc>
        <w:tc>
          <w:tcPr>
            <w:tcW w:type="dxa" w:w="2160"/>
          </w:tcPr>
          <w:p>
            <w:r>
              <w:t>&gt; 555°C (Auto feed cut ESD-501)</w:t>
            </w:r>
          </w:p>
        </w:tc>
      </w:tr>
      <w:tr>
        <w:tc>
          <w:tcPr>
            <w:tcW w:type="dxa" w:w="2160"/>
          </w:tcPr>
          <w:p>
            <w:r>
              <w:t>Regenerator Dense Bed Temperature</w:t>
            </w:r>
          </w:p>
        </w:tc>
        <w:tc>
          <w:tcPr>
            <w:tcW w:type="dxa" w:w="2160"/>
          </w:tcPr>
          <w:p>
            <w:r>
              <w:t>TI-204A-D</w:t>
            </w:r>
          </w:p>
        </w:tc>
        <w:tc>
          <w:tcPr>
            <w:tcW w:type="dxa" w:w="2160"/>
          </w:tcPr>
          <w:p>
            <w:r>
              <w:t>680°C – 715°C</w:t>
            </w:r>
          </w:p>
        </w:tc>
        <w:tc>
          <w:tcPr>
            <w:tcW w:type="dxa" w:w="2160"/>
          </w:tcPr>
          <w:p>
            <w:r>
              <w:t>&gt; 740°C (Cyclone metallurgy limit)</w:t>
            </w:r>
          </w:p>
        </w:tc>
      </w:tr>
      <w:tr>
        <w:tc>
          <w:tcPr>
            <w:tcW w:type="dxa" w:w="2160"/>
          </w:tcPr>
          <w:p>
            <w:r>
              <w:t>Regenerator Cyclone Differential Pressure</w:t>
            </w:r>
          </w:p>
        </w:tc>
        <w:tc>
          <w:tcPr>
            <w:tcW w:type="dxa" w:w="2160"/>
          </w:tcPr>
          <w:p>
            <w:r>
              <w:t>DP-401</w:t>
            </w:r>
          </w:p>
        </w:tc>
        <w:tc>
          <w:tcPr>
            <w:tcW w:type="dxa" w:w="2160"/>
          </w:tcPr>
          <w:p>
            <w:r>
              <w:t>12 – 25 kPa</w:t>
            </w:r>
          </w:p>
        </w:tc>
        <w:tc>
          <w:tcPr>
            <w:tcW w:type="dxa" w:w="2160"/>
          </w:tcPr>
          <w:p>
            <w:r>
              <w:t>&gt; 35 kPa (Catalyst loss hazard)</w:t>
            </w:r>
          </w:p>
        </w:tc>
      </w:tr>
      <w:tr>
        <w:tc>
          <w:tcPr>
            <w:tcW w:type="dxa" w:w="2160"/>
          </w:tcPr>
          <w:p>
            <w:r>
              <w:t>Spent Catalyst Slide Valve Position</w:t>
            </w:r>
          </w:p>
        </w:tc>
        <w:tc>
          <w:tcPr>
            <w:tcW w:type="dxa" w:w="2160"/>
          </w:tcPr>
          <w:p>
            <w:r>
              <w:t>XV-301</w:t>
            </w:r>
          </w:p>
        </w:tc>
        <w:tc>
          <w:tcPr>
            <w:tcW w:type="dxa" w:w="2160"/>
          </w:tcPr>
          <w:p>
            <w:r>
              <w:t>35% – 65% Open</w:t>
            </w:r>
          </w:p>
        </w:tc>
        <w:tc>
          <w:tcPr>
            <w:tcW w:type="dxa" w:w="2160"/>
          </w:tcPr>
          <w:p>
            <w:r>
              <w:t>Fail Close (FC) on low air flow</w:t>
            </w:r>
          </w:p>
        </w:tc>
      </w:tr>
      <w:tr>
        <w:tc>
          <w:tcPr>
            <w:tcW w:type="dxa" w:w="2160"/>
          </w:tcPr>
          <w:p>
            <w:r>
              <w:t>Combustion Air Blower Discharge Pressure</w:t>
            </w:r>
          </w:p>
        </w:tc>
        <w:tc>
          <w:tcPr>
            <w:tcW w:type="dxa" w:w="2160"/>
          </w:tcPr>
          <w:p>
            <w:r>
              <w:t>PT-101</w:t>
            </w:r>
          </w:p>
        </w:tc>
        <w:tc>
          <w:tcPr>
            <w:tcW w:type="dxa" w:w="2160"/>
          </w:tcPr>
          <w:p>
            <w:r>
              <w:t>2.8 – 3.4 bar(g)</w:t>
            </w:r>
          </w:p>
        </w:tc>
        <w:tc>
          <w:tcPr>
            <w:tcW w:type="dxa" w:w="2160"/>
          </w:tcPr>
          <w:p>
            <w:r>
              <w:t>&lt; 2.2 bar(g) (Trip catalyst circulation)</w:t>
            </w:r>
          </w:p>
        </w:tc>
      </w:tr>
    </w:tbl>
    <w:p>
      <w:pPr>
        <w:pStyle w:val="Heading2"/>
      </w:pPr>
      <w:r>
        <w:t>3. Emergency Shutdown &amp; Safety Instrumented System (SIS)</w:t>
      </w:r>
    </w:p>
    <w:p>
      <w:r>
        <w:t>In the event of total electrical failure or loss of combustion air, Emergency Shutdown Valve XV-301 must close within 3.0 seconds to prevent reverse flow of hydrocarbon vapors into the catalyst regenerator. All solenoid valves are powered by 24 VDC redundant uninterruptible power supply (UPS) circuits.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