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MRPL Mangalore Refinery — Hydrocracker Units (HCU-1 &amp; HCU-2)</w:t>
      </w:r>
    </w:p>
    <w:p>
      <w:pPr>
        <w:pStyle w:val="Heading1"/>
      </w:pPr>
      <w:r>
        <w:t>Standard Operating Manual: High-Pressure Reaction Section &amp; Emergency Procedures</w:t>
      </w:r>
    </w:p>
    <w:p>
      <w:pPr>
        <w:pStyle w:val="Heading2"/>
      </w:pPr>
      <w:r>
        <w:t>1. Process Description &amp; Reactor Conditions</w:t>
      </w:r>
    </w:p>
    <w:p>
      <w:r>
        <w:t>MRPL operates two identical high-pressure two-stage hydrocrackers (HCU-1 and HCU-2) licensed by Chevron Lummus Global (CLG). The units process heavy vacuum gas oil (HVGO) and coker heavy gas oil (HCGO) over noble/base metal catalysts in a hydrogen-rich atmosphere to produce high-cetane diesel (Cetane Index &gt; 52) and ATF with sulfur levels below 5 ppm.</w:t>
      </w:r>
    </w:p>
    <w:p>
      <w:pPr>
        <w:pStyle w:val="Heading2"/>
      </w:pPr>
      <w:r>
        <w:t>2. Critical Reaction Parameter Limits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Operating Parameter</w:t>
            </w:r>
          </w:p>
        </w:tc>
        <w:tc>
          <w:tcPr>
            <w:tcW w:type="dxa" w:w="2160"/>
          </w:tcPr>
          <w:p>
            <w:r>
              <w:t>Normal Range</w:t>
            </w:r>
          </w:p>
        </w:tc>
        <w:tc>
          <w:tcPr>
            <w:tcW w:type="dxa" w:w="2160"/>
          </w:tcPr>
          <w:p>
            <w:r>
              <w:t>Alarm High Limit</w:t>
            </w:r>
          </w:p>
        </w:tc>
        <w:tc>
          <w:tcPr>
            <w:tcW w:type="dxa" w:w="2160"/>
          </w:tcPr>
          <w:p>
            <w:r>
              <w:t>Emergency Action / Interlock</w:t>
            </w:r>
          </w:p>
        </w:tc>
      </w:tr>
      <w:tr>
        <w:tc>
          <w:tcPr>
            <w:tcW w:type="dxa" w:w="2160"/>
          </w:tcPr>
          <w:p>
            <w:r>
              <w:t>Reactor Loop Operating Pressure</w:t>
            </w:r>
          </w:p>
        </w:tc>
        <w:tc>
          <w:tcPr>
            <w:tcW w:type="dxa" w:w="2160"/>
          </w:tcPr>
          <w:p>
            <w:r>
              <w:t>165 – 180 bar(g)</w:t>
            </w:r>
          </w:p>
        </w:tc>
        <w:tc>
          <w:tcPr>
            <w:tcW w:type="dxa" w:w="2160"/>
          </w:tcPr>
          <w:p>
            <w:r>
              <w:t>&gt; 188 bar(g)</w:t>
            </w:r>
          </w:p>
        </w:tc>
        <w:tc>
          <w:tcPr>
            <w:tcW w:type="dxa" w:w="2160"/>
          </w:tcPr>
          <w:p>
            <w:r>
              <w:t>Open Emergency Depressurization Valve BDV-701 to Flare</w:t>
            </w:r>
          </w:p>
        </w:tc>
      </w:tr>
      <w:tr>
        <w:tc>
          <w:tcPr>
            <w:tcW w:type="dxa" w:w="2160"/>
          </w:tcPr>
          <w:p>
            <w:r>
              <w:t>Reactor Bed 1 Inlet Temperature</w:t>
            </w:r>
          </w:p>
        </w:tc>
        <w:tc>
          <w:tcPr>
            <w:tcW w:type="dxa" w:w="2160"/>
          </w:tcPr>
          <w:p>
            <w:r>
              <w:t>380°C – 405°C</w:t>
            </w:r>
          </w:p>
        </w:tc>
        <w:tc>
          <w:tcPr>
            <w:tcW w:type="dxa" w:w="2160"/>
          </w:tcPr>
          <w:p>
            <w:r>
              <w:t>&gt; 420°C</w:t>
            </w:r>
          </w:p>
        </w:tc>
        <w:tc>
          <w:tcPr>
            <w:tcW w:type="dxa" w:w="2160"/>
          </w:tcPr>
          <w:p>
            <w:r>
              <w:t>Increase Cold Hydrogen Quench Flow via QCV-101</w:t>
            </w:r>
          </w:p>
        </w:tc>
      </w:tr>
      <w:tr>
        <w:tc>
          <w:tcPr>
            <w:tcW w:type="dxa" w:w="2160"/>
          </w:tcPr>
          <w:p>
            <w:r>
              <w:t>Reactor Bed Maximum Delta-T</w:t>
            </w:r>
          </w:p>
        </w:tc>
        <w:tc>
          <w:tcPr>
            <w:tcW w:type="dxa" w:w="2160"/>
          </w:tcPr>
          <w:p>
            <w:r>
              <w:t>25°C – 35°C</w:t>
            </w:r>
          </w:p>
        </w:tc>
        <w:tc>
          <w:tcPr>
            <w:tcW w:type="dxa" w:w="2160"/>
          </w:tcPr>
          <w:p>
            <w:r>
              <w:t>&gt; 45°C</w:t>
            </w:r>
          </w:p>
        </w:tc>
        <w:tc>
          <w:tcPr>
            <w:tcW w:type="dxa" w:w="2160"/>
          </w:tcPr>
          <w:p>
            <w:r>
              <w:t>Emergency Feed Cutoff; Runaway Reaction Protocol</w:t>
            </w:r>
          </w:p>
        </w:tc>
      </w:tr>
      <w:tr>
        <w:tc>
          <w:tcPr>
            <w:tcW w:type="dxa" w:w="2160"/>
          </w:tcPr>
          <w:p>
            <w:r>
              <w:t>Hydrogen Recycle Gas Purity</w:t>
            </w:r>
          </w:p>
        </w:tc>
        <w:tc>
          <w:tcPr>
            <w:tcW w:type="dxa" w:w="2160"/>
          </w:tcPr>
          <w:p>
            <w:r>
              <w:t>88 – 95 mole % H2</w:t>
            </w:r>
          </w:p>
        </w:tc>
        <w:tc>
          <w:tcPr>
            <w:tcW w:type="dxa" w:w="2160"/>
          </w:tcPr>
          <w:p>
            <w:r>
              <w:t>&lt; 82 mole % H2</w:t>
            </w:r>
          </w:p>
        </w:tc>
        <w:tc>
          <w:tcPr>
            <w:tcW w:type="dxa" w:w="2160"/>
          </w:tcPr>
          <w:p>
            <w:r>
              <w:t>Increase Purge Rate to Fuel Gas; Boost Makeup H2 from HGU</w:t>
            </w:r>
          </w:p>
        </w:tc>
      </w:tr>
      <w:tr>
        <w:tc>
          <w:tcPr>
            <w:tcW w:type="dxa" w:w="2160"/>
          </w:tcPr>
          <w:p>
            <w:r>
              <w:t>Recycle Gas Compressor K-601 Suction Drum Level</w:t>
            </w:r>
          </w:p>
        </w:tc>
        <w:tc>
          <w:tcPr>
            <w:tcW w:type="dxa" w:w="2160"/>
          </w:tcPr>
          <w:p>
            <w:r>
              <w:t>30% – 50%</w:t>
            </w:r>
          </w:p>
        </w:tc>
        <w:tc>
          <w:tcPr>
            <w:tcW w:type="dxa" w:w="2160"/>
          </w:tcPr>
          <w:p>
            <w:r>
              <w:t>&gt; 70%</w:t>
            </w:r>
          </w:p>
        </w:tc>
        <w:tc>
          <w:tcPr>
            <w:tcW w:type="dxa" w:w="2160"/>
          </w:tcPr>
          <w:p>
            <w:r>
              <w:t>Trip Compressor K-601 on High-High Liquid Level to prevent liquid carryover</w:t>
            </w:r>
          </w:p>
        </w:tc>
      </w:tr>
    </w:tbl>
    <w:p>
      <w:pPr>
        <w:pStyle w:val="Heading2"/>
      </w:pPr>
      <w:r>
        <w:t>3. Emergency High-Pressure Depressuring (HPE) Protocol</w:t>
      </w:r>
    </w:p>
    <w:p>
      <w:r>
        <w:t>In the event of an uncontrollable temperature runaway (delta-T &gt; 50°C in any catalyst bed) or severe high-pressure hydrogen leak, the operator shall activate the Emergency Depressurization System (EDS). Dual fail-safe valves BDV-701A and BDV-701B will open, depressurizing the reactor loop from 175 bar to 7 bar within 15 minutes as per API-521 standard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