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MRPL Mangalore Refinery — Environmental Management Division</w:t>
      </w:r>
    </w:p>
    <w:p>
      <w:pPr>
        <w:pStyle w:val="Heading1"/>
      </w:pPr>
      <w:r>
        <w:t>Statutory Compliance Matrix: Karnataka State Pollution Control Board (KSPCB) Standards</w:t>
      </w:r>
    </w:p>
    <w:p>
      <w:pPr>
        <w:pStyle w:val="Heading2"/>
      </w:pPr>
      <w:r>
        <w:t>1. Continuous Online Ambient &amp; Flue Gas Emission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Emission Source</w:t>
            </w:r>
          </w:p>
        </w:tc>
        <w:tc>
          <w:tcPr>
            <w:tcW w:type="dxa" w:w="2160"/>
          </w:tcPr>
          <w:p>
            <w:r>
              <w:t>Pollutant</w:t>
            </w:r>
          </w:p>
        </w:tc>
        <w:tc>
          <w:tcPr>
            <w:tcW w:type="dxa" w:w="2160"/>
          </w:tcPr>
          <w:p>
            <w:r>
              <w:t>KSPCB Statutory Limit</w:t>
            </w:r>
          </w:p>
        </w:tc>
        <w:tc>
          <w:tcPr>
            <w:tcW w:type="dxa" w:w="2160"/>
          </w:tcPr>
          <w:p>
            <w:r>
              <w:t>MRPL Actual Recorded Average (2025–2026)</w:t>
            </w:r>
          </w:p>
        </w:tc>
      </w:tr>
      <w:tr>
        <w:tc>
          <w:tcPr>
            <w:tcW w:type="dxa" w:w="2160"/>
          </w:tcPr>
          <w:p>
            <w:r>
              <w:t>Sulfur Recovery Units (SRU-1/2/3)</w:t>
            </w:r>
          </w:p>
        </w:tc>
        <w:tc>
          <w:tcPr>
            <w:tcW w:type="dxa" w:w="2160"/>
          </w:tcPr>
          <w:p>
            <w:r>
              <w:t>Sulfur Dioxide (SO2)</w:t>
            </w:r>
          </w:p>
        </w:tc>
        <w:tc>
          <w:tcPr>
            <w:tcW w:type="dxa" w:w="2160"/>
          </w:tcPr>
          <w:p>
            <w:r>
              <w:t>&lt; 250 mg/Nm3</w:t>
            </w:r>
          </w:p>
        </w:tc>
        <w:tc>
          <w:tcPr>
            <w:tcW w:type="dxa" w:w="2160"/>
          </w:tcPr>
          <w:p>
            <w:r>
              <w:t>142 mg/Nm3 (99.9% sulfur recovery via TGTU)</w:t>
            </w:r>
          </w:p>
        </w:tc>
      </w:tr>
      <w:tr>
        <w:tc>
          <w:tcPr>
            <w:tcW w:type="dxa" w:w="2160"/>
          </w:tcPr>
          <w:p>
            <w:r>
              <w:t>FCCU Regenerator Stack</w:t>
            </w:r>
          </w:p>
        </w:tc>
        <w:tc>
          <w:tcPr>
            <w:tcW w:type="dxa" w:w="2160"/>
          </w:tcPr>
          <w:p>
            <w:r>
              <w:t>Particulate Matter (PM)</w:t>
            </w:r>
          </w:p>
        </w:tc>
        <w:tc>
          <w:tcPr>
            <w:tcW w:type="dxa" w:w="2160"/>
          </w:tcPr>
          <w:p>
            <w:r>
              <w:t>&lt; 50 mg/Nm3</w:t>
            </w:r>
          </w:p>
        </w:tc>
        <w:tc>
          <w:tcPr>
            <w:tcW w:type="dxa" w:w="2160"/>
          </w:tcPr>
          <w:p>
            <w:r>
              <w:t>31 mg/Nm3 (Treated via Electrostatic Precipitator ESP-401)</w:t>
            </w:r>
          </w:p>
        </w:tc>
      </w:tr>
      <w:tr>
        <w:tc>
          <w:tcPr>
            <w:tcW w:type="dxa" w:w="2160"/>
          </w:tcPr>
          <w:p>
            <w:r>
              <w:t>Crude Furnaces F-101 / F-201</w:t>
            </w:r>
          </w:p>
        </w:tc>
        <w:tc>
          <w:tcPr>
            <w:tcW w:type="dxa" w:w="2160"/>
          </w:tcPr>
          <w:p>
            <w:r>
              <w:t>Oxides of Nitrogen (NOx)</w:t>
            </w:r>
          </w:p>
        </w:tc>
        <w:tc>
          <w:tcPr>
            <w:tcW w:type="dxa" w:w="2160"/>
          </w:tcPr>
          <w:p>
            <w:r>
              <w:t>&lt; 250 mg/Nm3</w:t>
            </w:r>
          </w:p>
        </w:tc>
        <w:tc>
          <w:tcPr>
            <w:tcW w:type="dxa" w:w="2160"/>
          </w:tcPr>
          <w:p>
            <w:r>
              <w:t>168 mg/Nm3 (Ultra-low NOx burners)</w:t>
            </w:r>
          </w:p>
        </w:tc>
      </w:tr>
      <w:tr>
        <w:tc>
          <w:tcPr>
            <w:tcW w:type="dxa" w:w="2160"/>
          </w:tcPr>
          <w:p>
            <w:r>
              <w:t>Flare Stacks (South &amp; North)</w:t>
            </w:r>
          </w:p>
        </w:tc>
        <w:tc>
          <w:tcPr>
            <w:tcW w:type="dxa" w:w="2160"/>
          </w:tcPr>
          <w:p>
            <w:r>
              <w:t>Carbon Monoxide (CO)</w:t>
            </w:r>
          </w:p>
        </w:tc>
        <w:tc>
          <w:tcPr>
            <w:tcW w:type="dxa" w:w="2160"/>
          </w:tcPr>
          <w:p>
            <w:r>
              <w:t>&lt; 100 mg/Nm3</w:t>
            </w:r>
          </w:p>
        </w:tc>
        <w:tc>
          <w:tcPr>
            <w:tcW w:type="dxa" w:w="2160"/>
          </w:tcPr>
          <w:p>
            <w:r>
              <w:t>24 mg/Nm3 (Continuous steam-assisted combustion)</w:t>
            </w:r>
          </w:p>
        </w:tc>
      </w:tr>
    </w:tbl>
    <w:p>
      <w:pPr>
        <w:pStyle w:val="Heading2"/>
      </w:pPr>
      <w:r>
        <w:t>2. Treated Effluent Quality Limits (Discharge to Arabian Sea)</w:t>
      </w:r>
    </w:p>
    <w:p>
      <w:r>
        <w:t>Treated effluent from Effluent Treatment Plants (ETP-1 and ETP-2) must comply with the following limits:</w:t>
        <w:br/>
        <w:t>• Phenolic Compounds: &lt; 0.35 mg/L</w:t>
        <w:br/>
        <w:t>• Sulfides: &lt; 0.50 mg/L</w:t>
        <w:br/>
        <w:t>• Oil and Grease: &lt; 5.0 mg/L</w:t>
        <w:br/>
        <w:t>• Chemical Oxygen Demand (COD): &lt; 125 mg/L</w:t>
        <w:br/>
        <w:t>• Biochemical Oxygen Demand (BOD 3 days at 27°C): &lt; 15.0 mg/L.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