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Mangalore Refinery — Single Point Mooring (SPM) Operations</w:t>
      </w:r>
    </w:p>
    <w:p>
      <w:pPr>
        <w:pStyle w:val="Heading1"/>
      </w:pPr>
      <w:r>
        <w:t>Standard Operating Procedure: Offshore VLCC Crude Tanker Unloading (SOP-SPM-2026-02)</w:t>
      </w:r>
    </w:p>
    <w:p>
      <w:pPr>
        <w:pStyle w:val="Heading2"/>
      </w:pPr>
      <w:r>
        <w:t>1. SPM Facility Description</w:t>
      </w:r>
    </w:p>
    <w:p>
      <w:r>
        <w:t>MRPL operates a Single Point Mooring (SPM) terminal located approximately 16.5 kilometers offshore New Mangalore Port at a water depth of 32 meters. The terminal can handle Very Large Crude Carriers (VLCCs) up to 300,000 DWT. Crude oil is pumped from the tanker through two 24-inch floating hoses, the SPM swivel, a pipeline end manifold (PLEM), and a 48-inch subsea pipeline to the onshore coastal crude oil terminal (CCOT) at Kasaba and onward to the refinery.</w:t>
      </w:r>
    </w:p>
    <w:p>
      <w:pPr>
        <w:pStyle w:val="Heading2"/>
      </w:pPr>
      <w:r>
        <w:t>2. Discharge Operations &amp; Pressure Surge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/ Safety System</w:t>
            </w:r>
          </w:p>
        </w:tc>
        <w:tc>
          <w:tcPr>
            <w:tcW w:type="dxa" w:w="2880"/>
          </w:tcPr>
          <w:p>
            <w:r>
              <w:t>Design Specification</w:t>
            </w:r>
          </w:p>
        </w:tc>
        <w:tc>
          <w:tcPr>
            <w:tcW w:type="dxa" w:w="2880"/>
          </w:tcPr>
          <w:p>
            <w:r>
              <w:t>Operating Safety Rule</w:t>
            </w:r>
          </w:p>
        </w:tc>
      </w:tr>
      <w:tr>
        <w:tc>
          <w:tcPr>
            <w:tcW w:type="dxa" w:w="2880"/>
          </w:tcPr>
          <w:p>
            <w:r>
              <w:t>Maximum Discharge Rate</w:t>
            </w:r>
          </w:p>
        </w:tc>
        <w:tc>
          <w:tcPr>
            <w:tcW w:type="dxa" w:w="2880"/>
          </w:tcPr>
          <w:p>
            <w:r>
              <w:t>10,000 m3/hour</w:t>
            </w:r>
          </w:p>
        </w:tc>
        <w:tc>
          <w:tcPr>
            <w:tcW w:type="dxa" w:w="2880"/>
          </w:tcPr>
          <w:p>
            <w:r>
              <w:t>Initial rate capped at 2,500 m3/h until pipeline pressure stabilizes</w:t>
            </w:r>
          </w:p>
        </w:tc>
      </w:tr>
      <w:tr>
        <w:tc>
          <w:tcPr>
            <w:tcW w:type="dxa" w:w="2880"/>
          </w:tcPr>
          <w:p>
            <w:r>
              <w:t>Subsea Pipeline Pressure Relief Valve PRV-901</w:t>
            </w:r>
          </w:p>
        </w:tc>
        <w:tc>
          <w:tcPr>
            <w:tcW w:type="dxa" w:w="2880"/>
          </w:tcPr>
          <w:p>
            <w:r>
              <w:t>Set point: 18.5 bar(g)</w:t>
            </w:r>
          </w:p>
        </w:tc>
        <w:tc>
          <w:tcPr>
            <w:tcW w:type="dxa" w:w="2880"/>
          </w:tcPr>
          <w:p>
            <w:r>
              <w:t>Trips flow and diverts surge to onshore surge relief tank at CCOT</w:t>
            </w:r>
          </w:p>
        </w:tc>
      </w:tr>
      <w:tr>
        <w:tc>
          <w:tcPr>
            <w:tcW w:type="dxa" w:w="2880"/>
          </w:tcPr>
          <w:p>
            <w:r>
              <w:t>Marine Breakaway Coupling (MBC)</w:t>
            </w:r>
          </w:p>
        </w:tc>
        <w:tc>
          <w:tcPr>
            <w:tcW w:type="dxa" w:w="2880"/>
          </w:tcPr>
          <w:p>
            <w:r>
              <w:t>Axial load trigger: 450 kN</w:t>
            </w:r>
          </w:p>
        </w:tc>
        <w:tc>
          <w:tcPr>
            <w:tcW w:type="dxa" w:w="2880"/>
          </w:tcPr>
          <w:p>
            <w:r>
              <w:t>Guarantees dry break without marine oil spill in extreme tanker drift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