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MRPL Refinery Turnaround &amp; Major Overhaul Management Plan</w:t>
      </w:r>
    </w:p>
    <w:p>
      <w:pPr>
        <w:pStyle w:val="Heading1"/>
      </w:pPr>
      <w:r>
        <w:t>Standard Operating Procedure: Hydrocarbon Freeing, Blinding, and Vessel Entry (SOP-TA-2026-01)</w:t>
      </w:r>
    </w:p>
    <w:p>
      <w:pPr>
        <w:pStyle w:val="Heading2"/>
      </w:pPr>
      <w:r>
        <w:t>1. Pre-Turnaround Unit Depressurization &amp; Blinding</w:t>
      </w:r>
    </w:p>
    <w:p>
      <w:r>
        <w:t>Prior to breaking flanges or unheading columns, all battery limit connections must be isolated with spectacle blinds or spade plates as per the Master Blind List. Blind installation must be verified by two independent engineers.</w:t>
      </w:r>
    </w:p>
    <w:p>
      <w:pPr>
        <w:pStyle w:val="Heading2"/>
      </w:pPr>
      <w:r>
        <w:t>2. Confined Space Vessel Entry Criteria</w:t>
      </w:r>
    </w:p>
    <w:tbl>
      <w:tblPr>
        <w:tblW w:type="auto" w:w="0"/>
        <w:tblLook w:firstColumn="1" w:firstRow="1" w:lastColumn="0" w:lastRow="0" w:noHBand="0" w:noVBand="1" w:val="04A0"/>
      </w:tblPr>
      <w:tblGrid>
        <w:gridCol w:w="2880"/>
        <w:gridCol w:w="2880"/>
        <w:gridCol w:w="2880"/>
      </w:tblGrid>
      <w:tr>
        <w:tc>
          <w:tcPr>
            <w:tcW w:type="dxa" w:w="2880"/>
          </w:tcPr>
          <w:p>
            <w:r>
              <w:t>Atmospheric Parameter</w:t>
            </w:r>
          </w:p>
        </w:tc>
        <w:tc>
          <w:tcPr>
            <w:tcW w:type="dxa" w:w="2880"/>
          </w:tcPr>
          <w:p>
            <w:r>
              <w:t>Permissible Safe Entry Limit</w:t>
            </w:r>
          </w:p>
        </w:tc>
        <w:tc>
          <w:tcPr>
            <w:tcW w:type="dxa" w:w="2880"/>
          </w:tcPr>
          <w:p>
            <w:r>
              <w:t>Testing Frequency</w:t>
            </w:r>
          </w:p>
        </w:tc>
      </w:tr>
      <w:tr>
        <w:tc>
          <w:tcPr>
            <w:tcW w:type="dxa" w:w="2880"/>
          </w:tcPr>
          <w:p>
            <w:r>
              <w:t>Oxygen (O2) Concentration</w:t>
            </w:r>
          </w:p>
        </w:tc>
        <w:tc>
          <w:tcPr>
            <w:tcW w:type="dxa" w:w="2880"/>
          </w:tcPr>
          <w:p>
            <w:r>
              <w:t>19.5% to 23.5% vol</w:t>
            </w:r>
          </w:p>
        </w:tc>
        <w:tc>
          <w:tcPr>
            <w:tcW w:type="dxa" w:w="2880"/>
          </w:tcPr>
          <w:p>
            <w:r>
              <w:t>Continuous during entry</w:t>
            </w:r>
          </w:p>
        </w:tc>
      </w:tr>
      <w:tr>
        <w:tc>
          <w:tcPr>
            <w:tcW w:type="dxa" w:w="2880"/>
          </w:tcPr>
          <w:p>
            <w:r>
              <w:t>Combustible Hydrocarbon Gas</w:t>
            </w:r>
          </w:p>
        </w:tc>
        <w:tc>
          <w:tcPr>
            <w:tcW w:type="dxa" w:w="2880"/>
          </w:tcPr>
          <w:p>
            <w:r>
              <w:t>&lt; 1.0% LEL (strictly 0.0% preferred)</w:t>
            </w:r>
          </w:p>
        </w:tc>
        <w:tc>
          <w:tcPr>
            <w:tcW w:type="dxa" w:w="2880"/>
          </w:tcPr>
          <w:p>
            <w:r>
              <w:t>Every 2 hours or shift handover</w:t>
            </w:r>
          </w:p>
        </w:tc>
      </w:tr>
      <w:tr>
        <w:tc>
          <w:tcPr>
            <w:tcW w:type="dxa" w:w="2880"/>
          </w:tcPr>
          <w:p>
            <w:r>
              <w:t>Hydrogen Sulfide (H2S)</w:t>
            </w:r>
          </w:p>
        </w:tc>
        <w:tc>
          <w:tcPr>
            <w:tcW w:type="dxa" w:w="2880"/>
          </w:tcPr>
          <w:p>
            <w:r>
              <w:t>&lt; 5.0 ppm</w:t>
            </w:r>
          </w:p>
        </w:tc>
        <w:tc>
          <w:tcPr>
            <w:tcW w:type="dxa" w:w="2880"/>
          </w:tcPr>
          <w:p>
            <w:r>
              <w:t>Continuous portable gas monitor</w:t>
            </w:r>
          </w:p>
        </w:tc>
      </w:tr>
      <w:tr>
        <w:tc>
          <w:tcPr>
            <w:tcW w:type="dxa" w:w="2880"/>
          </w:tcPr>
          <w:p>
            <w:r>
              <w:t>Carbon Monoxide (CO)</w:t>
            </w:r>
          </w:p>
        </w:tc>
        <w:tc>
          <w:tcPr>
            <w:tcW w:type="dxa" w:w="2880"/>
          </w:tcPr>
          <w:p>
            <w:r>
              <w:t>&lt; 25.0 ppm</w:t>
            </w:r>
          </w:p>
        </w:tc>
        <w:tc>
          <w:tcPr>
            <w:tcW w:type="dxa" w:w="2880"/>
          </w:tcPr>
          <w:p>
            <w:r>
              <w:t>Before every permit re-validation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