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responsible: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Narasimha Telugu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 C-terminal SD40-2×HA Knock-In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line: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BIHi005-A (hiPSC)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Design Strategy: INS C-terminal SD40-2×HA KI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C-terminal fusion of SD40-2×HA tag (204 bp insert: Linker + SD40 + 2×HA + STOP) to INS (insulin pre-proinsulin, 110 aa), inserted immediately before the stop codon (TAG) in the last coding exon (CDS exon 2 in local .gb file; Exon 3 in chromosomal context). INS encodes the insulin pre-proinsulin, the primary pancreatic β-cell hormone that controls glucose homeostasis. The SD40 domain enables proximity labeling and the 2×HA tag provides detection by anti-HA antibody.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 — Insulin  (ENSG00000254647)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RefSeq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NM_000207.3  (Gene ID: 3630  |  UniProt: P01308)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Chromosome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Chr11p15.5: 2,161,201–2,162,816 (−strand, GRCh38)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Exons / Protein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exons (2 CDS exons in local file) / 110 aa pre-proinsulin (CDS: 333 bp)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SD40-2×HA (204 bp insert: Linker+SD40+2×HA+STOP, from TP53BP1 HR template)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Insertion site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Before stop codon TAG in last coding exon (CDS position 328–330, .gb file pos 1488–1490)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GS-rich flexible linker (30 bp)  |  GCTAAAGCCAAAAACAACCAGGGATCCGGA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gRNA Sequences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 gRNAs flanking the INS stop codon, designed from 250119_ins-ensg00000254647.gb. Both gRNAs target the (+) strand of the last coding exon: gRNA1 cuts −59 bp upstream; gRNA2 cuts −20 bp upstream. Both have 60% GC content. Verify off-target profiles at rgenome.net/cas-database/ before ordering.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900"/>
        <w:gridCol w:w="30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PAM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INS_SD40_gRNA1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CCTGCAGAAGCGTGGCATTG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TGG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+strand, cut −59 bp from stop, GC=60%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INS_SD40_gRNA2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CATCTGCTCCCTCTACCAGC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TGG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+strand, cut −20 bp from stop, GC=60%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Primer Sequences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Genotyping primers outside 250 bp HAs. WT: ~602 bp. KI: ~806 bp. Junction primers anneal within the tag insert for allele-specific detection.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INS_SD40_Fw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AAGGAGGTGGGACATGTGGGCGTT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 nt  |  GC 58%  |  ~110 bp outside 5′HA  |  intronic region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INS_SD40_Rev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[Requires extended 3′UTR — design via NCBI Primer-BLAST on chr11:2,160,900+]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20"/>
                <w:szCs w:val="20"/>
              </w:rPr>
              <w:t xml:space="preserve">Outside 3′HA  |  need chr11 GRCh38 sequence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5′ Jxn Rev (in SD40)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GTAAACCCGCAAATAGGGCAGAAC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 SD40 tag  |  same as XRCC4 / OPTN / ECSIT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3′ Jxn Fw (in HA tag)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TACCCCTACGACGTGCCCGACTAC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 2×HA tag  |  same as XRCC4 / OPTN / ECSIT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Donor Template (dsDNA / gBlock)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Donor: 704 bp = 250 bp 5′HA + 204 bp insert (Linker+SD40+2×HA+STOP) + 250 bp 3′HA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⚠ 3′HA: only 73 bp available from local .gb file. Extend to 250 bp using chr11 GRCh38 (UCSC/Ensembl: chr11:2,160,900–2,161,150).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5′ Homology Arm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250 bp: last coding exon sequence, ends at last codon N110 (no stop). Contains 3 silent mutations.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 bp: GCTAAAGCCAAAAACAACCAGGGATCCGGA  (GS-rich flexible linker, lab standard)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SD40 domain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108 bp (proximity labeling domain, from TP53BP1 HR template, Iris 62615/56153)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2×HA epitope tags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63 bp (YPYDVPDYA ×2 with Gly-Gly spacer)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TAA (new stop codon, in-frame)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3′ Homology Arm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250 bp: 3′UTR, downstream of INS stop codon  (⚠ extend from chr11 GRCh38; 73 bp available in .gb file)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Silent mutations in 5′HA (prevent Cas9 re-cutting after HDR):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1.  V91V  (GTG→GTA)  c.273G&gt;A  at .gb file pos 1433  —  gRNA1 PAM disruption (TGG→TAG)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2.  Y102Y  (TAC→TAT)  c.306C&gt;T  at .gb file pos 1466  —  gRNA2 seed pos 15/20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3.  L104L  (CTG→CTA)  c.312G&gt;A  at .gb file pos 1472  —  gRNA2 PAM disruption (TGG→TAG)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Note: both gRNA PAM sequences (TGG) overlap with coding codons and are disrupted by synonymous changes. The KI insert replaces the stop codon — gRNA1 target also overlaps with the stop codon and is intrinsically disrupted.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Complete Donor Sequence (partial: 527 bp with 73 bp 3′HA | full: 704 bp when extended)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key:  </w:t>
      </w: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■ 5′HA (250 bp)  </w:t>
      </w: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■ Linker (30 bp)  </w:t>
      </w: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■ SD40 (108 bp)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■ 2×HA (63 bp) 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■ STOP  </w:t>
      </w:r>
      <w:r>
        <w:rPr>
          <w:rFonts w:ascii="Arial" w:cs="Arial" w:eastAsia="Arial" w:hAnsi="Arial"/>
          <w:b/>
          <w:bCs/>
          <w:color w:val="558B2F"/>
          <w:sz w:val="20"/>
          <w:szCs w:val="20"/>
        </w:rPr>
        <w:t xml:space="preserve">■ 3′HA (73 bp avail.) 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■ Silent mut</w:t>
      </w:r>
    </w:p>
    <w:p>
      <w:pPr>
        <w:spacing w:after="80"/>
      </w:pPr>
      <w:r>
        <w:t xml:space="preserve"/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 1  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GGGCTGGCGGGCAGGCGGGCACTGTGTCTCCCTGACTGTGTCCTCCTGTGTCCCTCTGCCTCGCCGCTGT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71  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TCCGGAACCTGCTCTGCGCGGCACGTCCTGGCAGTGGGGCAGGTGGAGCTGGGCGGGGGCCCTGGTGCAG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141  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GCAGCCTGCAGCCCTTGGCCCTGGAGGGGTCCCTGCAGAAGCGTGGCATTGT</w:t>
      </w:r>
      <w:r>
        <w:rPr>
          <w:rFonts w:ascii="Courier New" w:cs="Courier New" w:eastAsia="Courier New" w:hAnsi="Courier New"/>
          <w:color w:val="FF6600"/>
          <w:sz w:val="16"/>
          <w:szCs w:val="16"/>
        </w:rPr>
        <w:t xml:space="preserve">A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GAACAATGCTGTACCAG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211  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CATCTGCTCCCTCTA</w:t>
      </w:r>
      <w:r>
        <w:rPr>
          <w:rFonts w:ascii="Courier New" w:cs="Courier New" w:eastAsia="Courier New" w:hAnsi="Courier New"/>
          <w:color w:val="FF6600"/>
          <w:sz w:val="16"/>
          <w:szCs w:val="16"/>
        </w:rPr>
        <w:t xml:space="preserve">T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CAGCT</w:t>
      </w:r>
      <w:r>
        <w:rPr>
          <w:rFonts w:ascii="Courier New" w:cs="Courier New" w:eastAsia="Courier New" w:hAnsi="Courier New"/>
          <w:color w:val="FF6600"/>
          <w:sz w:val="16"/>
          <w:szCs w:val="16"/>
        </w:rPr>
        <w:t xml:space="preserve">A</w:t>
      </w:r>
      <w:r>
        <w:rPr>
          <w:rFonts w:ascii="Courier New" w:cs="Courier New" w:eastAsia="Courier New" w:hAnsi="Courier New"/>
          <w:color w:val="1F5C99"/>
          <w:sz w:val="16"/>
          <w:szCs w:val="16"/>
        </w:rPr>
        <w:t xml:space="preserve">GAGAACTACTGCAACGCA</w:t>
      </w:r>
      <w:r>
        <w:rPr>
          <w:rFonts w:ascii="Courier New" w:cs="Courier New" w:eastAsia="Courier New" w:hAnsi="Courier New"/>
          <w:color w:val="7B5EA7"/>
          <w:sz w:val="16"/>
          <w:szCs w:val="16"/>
        </w:rPr>
        <w:t xml:space="preserve">GCTAAAGCCAAAAACAACCAGGGATCCGGA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281  </w:t>
      </w:r>
      <w:r>
        <w:rPr>
          <w:rFonts w:ascii="Courier New" w:cs="Courier New" w:eastAsia="Courier New" w:hAnsi="Courier New"/>
          <w:color w:val="2E8B57"/>
          <w:sz w:val="16"/>
          <w:szCs w:val="16"/>
        </w:rPr>
        <w:t xml:space="preserve">CTGTTGCTGTTCTGCCCTATTTGCGGGTTTACATGTCGCCAGAAGGGCAACTTACTTCGCCATATTAACC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351  </w:t>
      </w:r>
      <w:r>
        <w:rPr>
          <w:rFonts w:ascii="Courier New" w:cs="Courier New" w:eastAsia="Courier New" w:hAnsi="Courier New"/>
          <w:color w:val="2E8B57"/>
          <w:sz w:val="16"/>
          <w:szCs w:val="16"/>
        </w:rPr>
        <w:t xml:space="preserve">TGCACACAGGGGAAAAGTTATTTAAGTACCACCTGTAT</w:t>
      </w:r>
      <w:r>
        <w:rPr>
          <w:rFonts w:ascii="Courier New" w:cs="Courier New" w:eastAsia="Courier New" w:hAnsi="Courier New"/>
          <w:color w:val="B8860B"/>
          <w:sz w:val="16"/>
          <w:szCs w:val="16"/>
        </w:rPr>
        <w:t xml:space="preserve">GGCGGCTACCCCTACGACGTGCCCGACTACGC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421  </w:t>
      </w:r>
      <w:r>
        <w:rPr>
          <w:rFonts w:ascii="Courier New" w:cs="Courier New" w:eastAsia="Courier New" w:hAnsi="Courier New"/>
          <w:color w:val="B8860B"/>
          <w:sz w:val="16"/>
          <w:szCs w:val="16"/>
        </w:rPr>
        <w:t xml:space="preserve">CGGCTATCCGTATGATGTCCCGGACTATGCA</w:t>
      </w:r>
      <w:r>
        <w:rPr>
          <w:rFonts w:ascii="Courier New" w:cs="Courier New" w:eastAsia="Courier New" w:hAnsi="Courier New"/>
          <w:color w:val="CC0000"/>
          <w:sz w:val="16"/>
          <w:szCs w:val="16"/>
        </w:rPr>
        <w:t xml:space="preserve">TAA</w:t>
      </w:r>
      <w:r>
        <w:rPr>
          <w:rFonts w:ascii="Courier New" w:cs="Courier New" w:eastAsia="Courier New" w:hAnsi="Courier New"/>
          <w:color w:val="558B2F"/>
          <w:sz w:val="16"/>
          <w:szCs w:val="16"/>
        </w:rPr>
        <w:t xml:space="preserve">ACGCAGCCCGCAGGCAGCCCCACACCCGCCGCCTCC</w:t>
      </w:r>
    </w:p>
    <w:p>
      <w:pPr>
        <w:spacing w:after="1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491  </w:t>
      </w:r>
      <w:r>
        <w:rPr>
          <w:rFonts w:ascii="Courier New" w:cs="Courier New" w:eastAsia="Courier New" w:hAnsi="Courier New"/>
          <w:color w:val="558B2F"/>
          <w:sz w:val="16"/>
          <w:szCs w:val="16"/>
        </w:rPr>
        <w:t xml:space="preserve">TGCACCGAGAGAGATGGAATAAAGCCCTTGAACCAGC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Total: 704 bp (250 bp 5′HA + 204 bp insert + 250 bp 3′HA).  Synthesise as gBlock (IDT) or PCR amplify from plasmid.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Off-Target Sites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Assess both gRNAs via Cas-OFFinder (http://www.rgenome.net/cas-offinder/) or CRISPOR. Require 0 perfect-match, 0 one-mismatch, ≤10 two-mismatch off-target sites. Top 5 predicted off-target sites should be Sanger-sequenced in final validated clones. Both INS_SD40_gRNA1 and INS_SD40_gRNA2 have 60% GC — on-target efficiency expected to be high.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Hi-Fi Cas9 (IDT) | Alt-R crRNA:tracrRNA | RNP 1:2.5 + donor (1–2 µg dsDNA or gBlock)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Delivery: Lonza 4D-Nucleofector, program CA-137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Recovery: mTeSR1 + 10 µM Y-27632 on Matrigel for 24 h post-nucleofection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Screen 48–96 clones. Verify by 5′ and 3′ junction PCR + Sanger sequencing.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Validate: anti-HA Western blot + immunofluorescence (anti-INS / anti-HA co-staining in β-cells).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Note: INS is expressed predominantly in pancreatic β-cells. Confirm editing in undifferentiated iPSCs then verify tag function after β-cell differentiation.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LAGESO S1: Projektnummer S3-SD 13/15  |  Register after clone validation  |  BIHi005-A-XX (assign hPSCreg ID)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 Ludwik KA et al. (2023) STAR Protocols 4(2):102315. ASSURED-optimised CRISPR for hiPSCs.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 Richardson CD et al. (2016) Nat Biotechnol 34(3):339–44. Asymmetric donor for HDR.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 Bell GI et al. (1980) Nature 284:26–32. INS gene structure.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 UniProt P01308 (INS_HUMAN). https://www.uniprot.org/uniprot/P01308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 Ensembl ENSG00000254647. https://www.ensembl.org/id/ENSG00000254647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 NCBI Gene ID 3630. https://www.ncbi.nlm.nih.gov/gene/3630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7.  gRNA off-target: RGenome Cas-Database. https://rgenome.net/cas-database/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Narasimha Telugu | Pluripotent Stem Cell Platform | MDC Berlin | March 2026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INS C-terminal SD40-2×HA KI — BIHi005-A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MDC Berlin | AG Diecke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2026-03-23T12:10:17.607Z</dcterms:created>
  <dcterms:modified xsi:type="dcterms:W3CDTF">2026-03-23T12:10:17.608Z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