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SORCS1 Gene Knockout Design</w:t>
      </w:r>
    </w:p>
    <w:p>
      <w:pPr>
        <w:spacing w:after="6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BIHi005-A human iPSCs | Hi-Fi SpCas9 RNP | Dual-gRNA NHEJ Strategy</w:t>
      </w:r>
    </w:p>
    <w:p>
      <w:pPr>
        <w:spacing w:after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Narasimha Telugu  |  AG Diecke  |  MDC Berlin  |  March 2026  |  Protocol: ASSURED CRISPR (Ludwik et al. 2023)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Gene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Gene name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SORCS1 — Sortilin-related VPS10 domain-containing receptor 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NCBI Gene ID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114815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ENSEMBL ID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ENSG00000108018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Chromosomal location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Chr 10q23.3 | GRCh38: chr10:106,573,663–107,164,706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Transcript (canonical)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ENST00000263054.11 (SORCS1-201) | 26 exons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Protein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Sortilin-related receptor, VPS10 domain — neuropeptide receptor involved in intracellular sorting and trafficking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Expression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Strongly expressed in the central nervous system; implicated in Alzheimer's disease and type 2 diabetes susceptibility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Risk group (recipient)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RG 1 (Homo sapiens)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Knockout Strategy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dual-guide RNA NHEJ-based knockout strategy is employed, targeting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Exon 4</w:t>
      </w:r>
      <w:r>
        <w:rPr>
          <w:rFonts w:ascii="Arial" w:cs="Arial" w:eastAsia="Arial" w:hAnsi="Arial"/>
          <w:sz w:val="20"/>
          <w:szCs w:val="20"/>
        </w:rPr>
        <w:t xml:space="preserve"> of SORCS1 — an early coding exon conserved across all major transcript isoforms. Two sgRNAs flanking a ~50 bp window within Exon 4 are co-delivered as Hi-Fi Cas9 RNP complexes via Lonza 4D nucleofection (CA-137 program). NHEJ-mediated repair introduces frameshift indels at one or both cut sites, resulting in premature stop codons and loss-of-function. No donor template is required.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Targeting Exon 4 ensures: (1) disruption of the N-terminal VPS10 propeptide domain critical for protein folding and receptor function; (2) coverage of all major isoforms (SORCS1-201, -202, -203); (3) high probability of nonsense-mediated mRNA decay (NMD) of transcripts bearing premature stop codons.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CRISPR Components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sgRNA Sequences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26"/>
        <w:gridCol w:w="1200"/>
        <w:gridCol w:w="800"/>
        <w:gridCol w:w="8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 Exon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Sequence (5'→3', 20 nt)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Strand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SorCS1-Exn4-gRNA1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Exon 4 (SORCS1)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GATAATGTTACTCACAGACC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NGG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Sense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SorCS1-Exn4-gRNA2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Exon 4 (SORCS1)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ATAAACTGCTCTCAATCTCC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NGG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Antisense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Source: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Ludwik et al. (2023) STAR Protocols 4(3):102415. ASSURED-optimized CRISPR protocol for knockout/SNP knockin in hiPSCs. SORCS1 Exon 4 is used as the worked example throughout the protocol.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Confirm gRNA sequences against RGenome Cas-Database (rgenome.net) for off-target profile before ordering. Apply standard ASSURED filters: no perfect or 1-mismatch off-targets in coding regions; high out-of-frame score preferred.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Nucleofection Mix (per reaction)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1826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Supplier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Hi-Fi Cas9 protein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µg (≈ 12 pmol)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IDT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RG 1, S. pyogenes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SorCS1-Exn4-gRNA1 (IVT or synthetic)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150 pmol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IDT / Synthego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 nt + scaffold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SorCS1-Exn4-gRNA2 (IVT or synthetic)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150 pmol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IDT / Synthego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 nt + scaffold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Donor template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NHEJ strategy — no donor required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BIHi005-A iPSCs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× 10⁵ cells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MDC / hPSCreg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Pre-qualified, RG 1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Nucleofector solution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 µL P3 Primary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Lonza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4D system, CA-137 program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Cell Line 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Parental cell line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BIHi005-A (hPSCreg ID)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Species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Homo sapiens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Risk group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RG 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Pre-editing QC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Seed banking + karyotyping required before editing (standard MDC pre-QC)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Nucleofection system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Lonza 4D Nucleofector, CA-137 program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Cloning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IsoCell automated single-cell cloning post-nucleofection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Expected zygosity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Homozygous KO (bi-allelic frameshift) — confirmed by Sanger + ICE/TIDE analysis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Verification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Step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Genomic DNA extraction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Extract gDNA from expanded single-cell clones (~10–14 days post-nucleofection)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PCR amplification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Amplify ~500–700 bp window flanking both cut sites in Exon 4; confirm amplicon size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Sanger sequencing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Sequence PCR amplicons; use ICE (Synthego) or TIDE (Brinkman et al.) for indel spectrum analysis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TOPO cloning (optional)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Clone PCR products to resolve bi-allelic indels independently if Sanger trace is complex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Western blot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 absence of SORCS1 protein using validated anti-SorCS1 antibody (target MW ~120 kDa); use parental BIHi005-A as positive control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qPCR (optional)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Quantify SORCS1 mRNA reduction to confirm NMD of frameshift transcripts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Karyotyping (post-editing)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G-banding or SNP array after expansion of validated clones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LAGESO S1 Registration Fields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fields are pre-filled for LAGESO S1 GVO registration (Projektnummer S3-SD 13/15). Bracketed items require completion after clone validation.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LAGESO Field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Lfd.Nr. (Proj. No.)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[To be assigned upon registration]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Parental Cell Line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BIHi005-A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Species (Recipient)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Homo sapiens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RG (Recipient)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Vector / Tool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CRISPR-Cas9 (Hi-Fi Cas9 RNP)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Vector Species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Streptococcus pyogenes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sgRNA / Targeting Sequence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SorCS1-Exn4-gRNA1: GATAATGTTACTCACAGACC; SorCS1-Exn4-gRNA2: ATAAACTGCTCTCAATCTCC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sgRNA Species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Homo sapiens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sgRNA RG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Target Gene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SORCS1 (ENSG00000108018 / Gene ID: 114815)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Donor Seq / ssODN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N/A (KO — NHEJ strategy, no donor template)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Hazard Potential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Cell Line Name (hPSCreg)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[BIHi005-A-XX — assign after registration]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RG (GVO)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Received From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[Enter source lab / collaborator]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Modification Type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Modification Description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SORCS1 KO — dual sgRNA NHEJ frameshift, Exon 4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Zygosity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[Homozygous — confirm post-screening]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Date of Registration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[To be filled upon submission]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GVO Number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[Assigned by LAGESO]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Storage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[MDC liquid nitrogen biobank — fill location]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Disease / Research Model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[Specify — e.g. neurological disease model / Alzheimer's research]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Discarded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References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Ludwik KA et al. (2023) ASSURED-optimized CRISPR protocol for knockout/SNP knockin in hiPSCs. STAR Protocols 4(3):102415. doi:10.1016/j.xpro.2023.102415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Richardson CD et al. (2016) Enhancing homology-directed genome editing by catalytically active and inactive CRISPR-Cas9 using asymmetric donor DNA. Nature Biotechnology 34(3):339–344.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NCBI Gene: SORCS1, Gene ID 114815. https://www.ncbi.nlm.nih.gov/gene/114815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Ensembl: ENSG00000108018 (SORCS1). GRCh38. https://www.ensembl.org/Homo_sapiens/Gene/Summary?g=ENSG00000108018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RGenome Cas-Database — validate gRNA off-target profiles before ordering: https://rgenome.net/cas-database/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Narasimha Telugu | Pluripotent Stem Cell Platform | MDC Berlin | March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SORCS1 Gene Knockout Design — BIHi005-A iPSCs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MDC Berlin Buch | AG Diecke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2026-03-23T09:38:19.664Z</dcterms:created>
  <dcterms:modified xsi:type="dcterms:W3CDTF">2026-03-23T09:38:19.664Z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