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Group: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 Gergardt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Iris ID: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[to be assigned]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 responsible: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Narasimha Telugu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XRCC4 C-terminal SD40-2×HA Knock-In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Cell line: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[to be specified]</w:t>
            </w:r>
          </w:p>
        </w:tc>
      </w:tr>
    </w:tbl>
    <w:p>
      <w:pPr>
        <w:spacing w:before="60" w:after="60"/>
      </w:pPr>
    </w:p>
    <w:p>
      <w:pPr>
        <w:pStyle w:val="Heading1"/>
      </w:pPr>
      <w:r>
        <w:t xml:space="preserve">Design Strategy: XRCC4 C-terminal SD40-2×HA KI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C-terminal fusion of SD40-2×HA tag (204 bp insert: Linker + SD40 + 2×HA + STOP) to XRCC4 protein, inserted immediately before the stop codon (TAA) in Exon 8. XRCC4 is a key component of the NHEJ DNA repair pathway. The SD40 domain enables proximity labeling and the 2×HA tag provides detection by anti-HA antibody.</w:t>
      </w:r>
    </w:p>
    <w:p>
      <w:pPr>
        <w:spacing w:before="60" w:after="60"/>
      </w:pPr>
    </w:p>
    <w:p>
      <w:pPr>
        <w:pStyle w:val="Heading2"/>
      </w:pPr>
      <w:r>
        <w:t xml:space="preserve">1. Gene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XRCC4 (ENSG00000152422)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RefSeq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NM_003401 (CCDS4014)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Chromosome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Chr5:83,076,782–83,353,071 (+strand)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Exons / Protein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exons / 336 aa (CDS: 1011 bp)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SD40-2×HA (204 bp insert, from TP53BP1 HR template)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Insertion site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 stop codon TAA in Exon 8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GS-rich flexible linker (30 bp)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2. gRNA Sequences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AT-rich region around XRCC4 stop codon limits SpCas9 gRNA options. Both gRNAs are on the −strand. gRNA1 target spans the stop codon and is intrinsically disrupted by the KI. gRNA2 PAM (CCA = Pro329) cannot be silently disrupted — two seed mutations used instead.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700"/>
        <w:gridCol w:w="21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 (5′→3′)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PAM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XRCC4_SD40_gRNA1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ACTGTTAAATCTCATCAAAG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−strand, cut −9 bp, GC=30%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XRCC4_SD40_gRNA2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ATCTCATCAAAGAGGTCTTC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TGG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−strand, cut −17 bp, GC=40%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CC0000"/>
          <w:sz w:val="20"/>
          <w:szCs w:val="20"/>
        </w:rPr>
        <w:t xml:space="preserve">⚠ AT-rich target region (GC 30–40%). If efficiency is low, consider Cas12a (TTTV PAM) or xCas9.</w:t>
      </w:r>
    </w:p>
    <w:p>
      <w:pPr>
        <w:spacing w:before="60" w:after="60"/>
      </w:pPr>
    </w:p>
    <w:p>
      <w:pPr>
        <w:pStyle w:val="Heading2"/>
      </w:pPr>
      <w:r>
        <w:t xml:space="preserve">3. Primer Sequences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Genotyping primers outside 250 bp HAs. WT: ~602 bp. KI: ~806 bp.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 (5′→3′)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XRCC4_SD40_Fw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ATTCTAAAGCAGTTAGAGAAATTA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50 bp outside 5′HA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XRCC4_SD40_Rev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ATATAATATGTGTGAATGAATATG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25 bp outside 3′HA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5′ Jxn Rev (in SD40)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GTAAACCCGCAAATAGGGCAGAAC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 SD40 tag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3′ Jxn Fw (in HA tag)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TACCCCTACGACGTGCCCGACTAC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 2×HA tag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4. Donor Template (ssODN or dsDNA)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Donor: 704 bp = 250 bp 5′HA + 204 bp insert (Linker+SD40+2×HA+STOP) + 250 bp 3′HA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5′ Homology Arm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250 bp: Exon 8 coding, ends at last codon I336 (no stop)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Linker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bp: GCTAAAGCCAAAAACAACCAGGGATCCGGA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SD40 domain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108 bp (proximity labeling domain)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2×HA epitope tags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bp (YPYDVPDYA ×2)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Stop codon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TAA (new stop, in-frame)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3′ Homology Arm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250 bp: 3′UTR of Exon 8</w:t>
            </w:r>
          </w:p>
        </w:tc>
      </w:tr>
    </w:tbl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Silent mutations in 5′HA (prevent Cas9 re-cutting):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1. E330E (GAA→GAG) at genomic 275724 — gRNA2 seed pos 3/20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2. D331D (GAC→GAT) at genomic 275727 — gRNA2 seed pos 6/20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3. F333F (TTT→TTC) at genomic 275733 — gRNA1 seed pos 3/20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Note: gRNA1 target spans stop codon → intrinsically disrupted by KI insert. gRNA2 PAM = CCA (Pro329 codon positions 1–2) — cannot be silently disrupted, so two seed mutations are used instead.</w:t>
      </w:r>
    </w:p>
    <w:p>
      <w:pPr>
        <w:spacing w:before="60" w:after="60"/>
      </w:pPr>
    </w:p>
    <w:p>
      <w:pPr>
        <w:pStyle w:val="Heading2"/>
      </w:pPr>
      <w:r>
        <w:t xml:space="preserve">5. Complete Donor Sequence (704 bp)</w:t>
      </w:r>
    </w:p>
    <w:p>
      <w:pPr>
        <w:spacing w:after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Color key:  </w:t>
      </w: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■ 5′HA (250 bp)  </w:t>
      </w:r>
      <w:r>
        <w:rPr>
          <w:rFonts w:ascii="Arial" w:cs="Arial" w:eastAsia="Arial" w:hAnsi="Arial"/>
          <w:b/>
          <w:bCs/>
          <w:color w:val="8E44AD"/>
          <w:sz w:val="16"/>
          <w:szCs w:val="16"/>
        </w:rPr>
        <w:t xml:space="preserve">■ Linker (30 bp)  </w:t>
      </w:r>
      <w:r>
        <w:rPr>
          <w:rFonts w:ascii="Arial" w:cs="Arial" w:eastAsia="Arial" w:hAnsi="Arial"/>
          <w:b/>
          <w:bCs/>
          <w:color w:val="27AE60"/>
          <w:sz w:val="16"/>
          <w:szCs w:val="16"/>
        </w:rPr>
        <w:t xml:space="preserve">■ SD40 (108 bp)  </w:t>
      </w:r>
      <w:r>
        <w:rPr>
          <w:rFonts w:ascii="Arial" w:cs="Arial" w:eastAsia="Arial" w:hAnsi="Arial"/>
          <w:b/>
          <w:bCs/>
          <w:color w:val="E67E22"/>
          <w:sz w:val="16"/>
          <w:szCs w:val="16"/>
        </w:rPr>
        <w:t xml:space="preserve">■ 2×HA (60 bp)  </w:t>
      </w:r>
      <w:r>
        <w:rPr>
          <w:rFonts w:ascii="Arial" w:cs="Arial" w:eastAsia="Arial" w:hAnsi="Arial"/>
          <w:b/>
          <w:bCs/>
          <w:color w:val="C0392B"/>
          <w:sz w:val="16"/>
          <w:szCs w:val="16"/>
        </w:rPr>
        <w:t xml:space="preserve">■ STOP (3 bp)  </w:t>
      </w:r>
      <w:r>
        <w:rPr>
          <w:rFonts w:ascii="Arial" w:cs="Arial" w:eastAsia="Arial" w:hAnsi="Arial"/>
          <w:b/>
          <w:bCs/>
          <w:color w:val="065A82"/>
          <w:sz w:val="16"/>
          <w:szCs w:val="16"/>
        </w:rPr>
        <w:t xml:space="preserve">■ 3′HA (250 bp)  </w:t>
      </w:r>
      <w:r>
        <w:rPr>
          <w:rFonts w:ascii="Arial" w:cs="Arial" w:eastAsia="Arial" w:hAnsi="Arial"/>
          <w:b/>
          <w:bCs/>
          <w:color w:val="CC0000"/>
          <w:sz w:val="16"/>
          <w:szCs w:val="16"/>
          <w:shd w:fill="FFFF00" w:val="clear"/>
        </w:rPr>
        <w:t xml:space="preserve">■ Silent mut</w:t>
      </w:r>
    </w:p>
    <w:p>
      <w:pPr>
        <w:spacing w:before="60" w:after="60"/>
      </w:pP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  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 81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161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/>
          <w:bCs/>
          <w:color w:val="CC0000"/>
          <w:sz w:val="11"/>
          <w:szCs w:val="11"/>
          <w:shd w:fill="FFFF00" w:val="clear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/>
          <w:bCs/>
          <w:color w:val="CC0000"/>
          <w:sz w:val="11"/>
          <w:szCs w:val="11"/>
          <w:shd w:fill="FFFF00" w:val="clear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241  </w:t>
      </w:r>
      <w:r>
        <w:rPr>
          <w:rFonts w:ascii="Consolas" w:cs="Consolas" w:eastAsia="Consolas" w:hAnsi="Consolas"/>
          <w:b/>
          <w:bCs/>
          <w:color w:val="CC0000"/>
          <w:sz w:val="11"/>
          <w:szCs w:val="11"/>
          <w:shd w:fill="FFFF00" w:val="clear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321  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401  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481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561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641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</w:p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Total: 704 bp (250 bp 5′HA + 204 bp insert + 250 bp 3′HA)</w:t>
      </w:r>
    </w:p>
    <w:p>
      <w:pPr>
        <w:spacing w:before="60" w:after="60"/>
      </w:pPr>
    </w:p>
    <w:p>
      <w:pPr>
        <w:pStyle w:val="Heading2"/>
      </w:pPr>
      <w:r>
        <w:t xml:space="preserve">6. Off-Target Sites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Assess both gRNAs via Cas-OFFinder. Require 0 perfect, 0 one-mismatch, ≤10 two-mismatch off-targets. Note low GC content may reduce on-target efficiency. Top 5 sites Sanger-verified in final clones.</w:t>
      </w:r>
    </w:p>
    <w:p>
      <w:pPr>
        <w:spacing w:before="60" w:after="60"/>
      </w:pPr>
    </w:p>
    <w:p>
      <w:pPr>
        <w:pStyle w:val="Heading2"/>
      </w:pPr>
      <w:r>
        <w:t xml:space="preserve">7. Additional Info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Hi-Fi Cas9 (IDT) | Alt-R crRNA:tracrRNA | RNP 1:2.5 + donor (1–2 µg dsDNA or gBlock)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Delivery: Lonza 4D-Nucleofector, program CA-137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Recovery: mTeSR1 + 10 µM Y-27632 on Matrigel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Screen 48–96 clones. Verify by 5′ and 3′ junction PCR + Sanger sequencing.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Validate: anti-HA Western blot + immunofluorescence.</w:t>
      </w:r>
    </w:p>
    <w:p>
      <w:pPr>
        <w:spacing w:before="60" w:after="60"/>
      </w:pPr>
    </w:p>
    <w:p>
      <w:pPr>
        <w:pStyle w:val="Heading2"/>
      </w:pPr>
      <w:r>
        <w:t xml:space="preserve">8. References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1. Ludwik KA et al. (2023) STAR Protocols 4(2):102315.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2. Richardson CD et al. (2016) Nat Biotechnol 34(3):339-44.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3. Li Z et al. (1995) Cell 83(7):1079-89. XRCC4 in NHEJ.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AG Gergardt • Narasimha Telugu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XRCC4 SD40-2×HA C-terminal KI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2026-03-23T11:19:50.688Z</dcterms:created>
  <dcterms:modified xsi:type="dcterms:W3CDTF">2026-03-23T11:19:50.688Z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