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 Gergardt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Iris ID: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[to be assigned]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responsible: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Narasimha Telugu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OPTN C-terminal SD40-2×HA-P2A-mCherry KI Targeting Vector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Based on: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FOXO1 targeting vector architecture</w:t>
            </w:r>
          </w:p>
        </w:tc>
      </w:tr>
    </w:tbl>
    <w:p>
      <w:pPr>
        <w:spacing w:before="60" w:after="60"/>
      </w:pPr>
    </w:p>
    <w:p>
      <w:pPr>
        <w:pStyle w:val="Heading1"/>
      </w:pPr>
      <w:r>
        <w:t xml:space="preserve">OPTN: SD40 C-terminal KI Targeting Vector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C-terminal knock-in of SD40-2×HA-P2A-mCherry cassette at OPTN, replacing the stop codon with GCA (Ala). Includes floxed PGK-NeoR selection cassette (removable by Cre recombinase). Architecture identical to FOXO1 targeting vector.</w:t>
      </w:r>
    </w:p>
    <w:p>
      <w:pPr>
        <w:spacing w:before="60" w:after="60"/>
      </w:pPr>
    </w:p>
    <w:p>
      <w:pPr>
        <w:pStyle w:val="Heading2"/>
      </w:pPr>
      <w:r>
        <w:t xml:space="preserve">1. Gene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OPTN (ENSG00000123240, Optineurin)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Chr10 (+strand) | 16 exons | 577 aa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 codon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TAA in Exon 16 (genomic pos 37416–37418)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 position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C-terminal, stop codon → Ala (GCA)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2. gRNA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700"/>
        <w:gridCol w:w="21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PAM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OPTN_KI_gRNA1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CACGTTACAGATTCACGTGA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TGG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+strand, cut −17 bp, GC=45%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OPTN_KI_gRNA2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ATTTACCAACAGTTTTGGGG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−strand, cut +23 bp, GC=40%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3. Genotyping Primers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OPTN_KI_Fw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GAGATTTTTCTCTATGTGCATCGT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Outside 5′HA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OPTN_KI_Rev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CTGCGACTACAGGCATGCGCCACC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Outside 3′HA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5′ Jxn Rev (in tag)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GTAAACCCGCAAATAGGGCAGAAC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 SD40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3′ Jxn Fw (in mCherry)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GACAACACCGAGGACGGCAGCGTG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 mCherry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4. Targeting Vector Architecture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Total size: 4388 bp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5′ Homology Arm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750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Exon 16 coding (with silent muts H571H, V572V)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 → Ala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stop codon replaced with GCA (Ala)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GS-rich flexible linker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SD40 proximity labeling domain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2×HA epitope tags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HA-Tag1 + HA-Tag2 (YPYDVPDYA)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Self-cleaving peptide (separate reporter from fusion)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mCherry reporter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711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Fluorescent reporter (post-P2A cleavage)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LoxP1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 recombinase recognition site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PGK promoter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515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Drives NeoR expression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Neomycin resistance (NeoR)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801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G418/Geneticin selection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bGH polyA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303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Polyadenylation signal for NeoR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LoxP2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 recombinase recognition site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3′ Homology Arm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750 bp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3′UTR of Exon 16</w:t>
            </w:r>
          </w:p>
        </w:tc>
      </w:tr>
    </w:tbl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Silent mutations in 5′HA (to prevent Cas9 re-cutting):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1. c.1724C&gt;T (CAC→CAT, p.H571H) — gRNA1 seed pos 15/20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2. c.1716G&gt;A (GTG→GTA, p.V572V) — gRNA1 seed pos 18/20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3. C→A at 3′HA pos 17 (3′UTR) — gRNA2 PAM block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4. A→G at 3′HA pos 23 (3′UTR) — gRNA2 seed block</w:t>
      </w:r>
    </w:p>
    <w:p>
      <w:pPr>
        <w:spacing w:before="60" w:after="60"/>
      </w:pPr>
    </w:p>
    <w:p>
      <w:pPr>
        <w:pStyle w:val="Heading2"/>
      </w:pPr>
      <w:r>
        <w:t xml:space="preserve">5. Complete Donor Sequence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4388 bp total. Color legend below. Sequence can be synthesized as a gene fragment or cloned into a plasmid backbone (e.g., pBluescript).</w:t>
      </w:r>
    </w:p>
    <w:p>
      <w:pPr>
        <w:spacing w:before="60"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Color key:  </w:t>
      </w: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■ 5′HA  </w:t>
      </w:r>
      <w:r>
        <w:rPr>
          <w:rFonts w:ascii="Arial" w:cs="Arial" w:eastAsia="Arial" w:hAnsi="Arial"/>
          <w:b/>
          <w:bCs/>
          <w:color w:val="27AE60"/>
          <w:sz w:val="16"/>
          <w:szCs w:val="16"/>
        </w:rPr>
        <w:t xml:space="preserve">■ SD40  </w:t>
      </w:r>
      <w:r>
        <w:rPr>
          <w:rFonts w:ascii="Arial" w:cs="Arial" w:eastAsia="Arial" w:hAnsi="Arial"/>
          <w:b/>
          <w:bCs/>
          <w:color w:val="E67E22"/>
          <w:sz w:val="16"/>
          <w:szCs w:val="16"/>
        </w:rPr>
        <w:t xml:space="preserve">■ 2×HA  </w:t>
      </w: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■ P2A  </w:t>
      </w: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■ mCherry  </w:t>
      </w: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■ PGK  </w:t>
      </w:r>
      <w:r>
        <w:rPr>
          <w:rFonts w:ascii="Arial" w:cs="Arial" w:eastAsia="Arial" w:hAnsi="Arial"/>
          <w:b/>
          <w:bCs/>
          <w:color w:val="16A085"/>
          <w:sz w:val="16"/>
          <w:szCs w:val="16"/>
        </w:rPr>
        <w:t xml:space="preserve">■ NeoR  </w:t>
      </w:r>
      <w:r>
        <w:rPr>
          <w:rFonts w:ascii="Arial" w:cs="Arial" w:eastAsia="Arial" w:hAnsi="Arial"/>
          <w:b/>
          <w:bCs/>
          <w:color w:val="F39C12"/>
          <w:sz w:val="16"/>
          <w:szCs w:val="16"/>
        </w:rPr>
        <w:t xml:space="preserve">■ LoxP  </w:t>
      </w:r>
      <w:r>
        <w:rPr>
          <w:rFonts w:ascii="Arial" w:cs="Arial" w:eastAsia="Arial" w:hAnsi="Arial"/>
          <w:b/>
          <w:bCs/>
          <w:color w:val="065A82"/>
          <w:sz w:val="16"/>
          <w:szCs w:val="16"/>
        </w:rPr>
        <w:t xml:space="preserve">■ 3′HA  </w:t>
      </w:r>
      <w:r>
        <w:rPr>
          <w:rFonts w:ascii="Arial" w:cs="Arial" w:eastAsia="Arial" w:hAnsi="Arial"/>
          <w:b/>
          <w:bCs/>
          <w:color w:val="CC0000"/>
          <w:sz w:val="16"/>
          <w:szCs w:val="16"/>
          <w:shd w:fill="FFFF00" w:val="clear"/>
        </w:rPr>
        <w:t xml:space="preserve">■ Silent mut</w:t>
      </w:r>
    </w:p>
    <w:p>
      <w:pPr>
        <w:spacing w:before="60" w:after="60"/>
      </w:pP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  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 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161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241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321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401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481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561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641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721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801  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881  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961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1041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1121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1201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1281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1361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1441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1521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1601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1681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1761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1841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1921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2001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2081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2161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2241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2321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2401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2481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2561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2641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2721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2801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2881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2961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3041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3121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3201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3281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3361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3441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3521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3601  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3681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3761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3841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3921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4001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4081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4161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4241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4321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Total: 4388 bp</w:t>
      </w:r>
    </w:p>
    <w:p>
      <w:pPr>
        <w:spacing w:before="60" w:after="60"/>
      </w:pPr>
    </w:p>
    <w:p>
      <w:pPr>
        <w:pStyle w:val="Heading2"/>
      </w:pPr>
      <w:r>
        <w:t xml:space="preserve">6. Additional Info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Nuclease: Hi-Fi Cas9 (IDT) | gRNA: Alt-R crRNA:tracrRNA | Lonza 4D CA-137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Donor delivery: Linearized plasmid or long dsDNA (1–2 µg per nucleofection)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Selection: G418/Geneticin (200–400 µg/mL) for 7–10 days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Cre excision: Transfect Cre recombinase to remove floxed PGK-NeoR cassette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Reporter: mCherry fluorescence confirms successful KI (P2A-cleaved)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Screen 48–96 clones. Verify by 5′ and 3′ junction PCR + Sanger sequencing.</w:t>
      </w:r>
    </w:p>
    <w:p>
      <w:pPr>
        <w:spacing w:before="60" w:after="60"/>
      </w:pPr>
    </w:p>
    <w:p>
      <w:pPr>
        <w:pStyle w:val="Heading2"/>
      </w:pPr>
      <w:r>
        <w:t xml:space="preserve">7. References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1. FOXO1 targeting vector (lab reference construct)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2. TP53BP1 HR template (Iris 62615/56153). SD40 source.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3. Ludwik KA et al. (2023) STAR Protocols 4(2):102315.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AG Gergardt • Narasimha Telugu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OPTN SD40 KI Targeting Vector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2026-03-22T22:04:51.154Z</dcterms:created>
  <dcterms:modified xsi:type="dcterms:W3CDTF">2026-03-22T22:04:51.154Z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