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B6B8A"/>
          <w:sz w:val="48"/>
          <w:szCs w:val="48"/>
        </w:rPr>
        <w:t xml:space="preserve">Design Strategy: PSEN1 p.N32R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Missense substitution (polar neutral → basic) in N-terminal cytoplasmic domain of PSEN1. Exon 4.</w:t>
      </w:r>
    </w:p>
    <w:p>
      <w:pPr>
        <w:shd w:fill="1B6B8A" w:val="clear"/>
        <w:spacing w:after="60" w:before="200"/>
        <w:ind w:left="120"/>
      </w:pPr>
      <w:r>
        <w:rPr>
          <w:b/>
          <w:bCs/>
          <w:color w:val="FFFFFF"/>
          <w:sz w:val="24"/>
          <w:szCs w:val="24"/>
        </w:rPr>
        <w:t xml:space="preserve">1. Gene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PSEN1 (Presenilin-1)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HGNC ID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HGNC:9508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Transcript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ENST00000324501 (CCDS9812)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Genome build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GRCh38 / hg38 | chr14:73,136,418–73,223,691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Exon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Exon 4 (PSEN1-001)  |  Genomic pos: 34,380–34,630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variant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c.[95A&gt;G;96T&gt;A]  |  p.Asn32Arg (p.N32R)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Codon change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AAT → AGA  (Asparagine → Arginine)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Codon 32 pos.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Genomic positions 34,386–34,388 (1-based, within gene record)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Protein context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...Q29-N30-D31-N32-R33-E34-R35-Q36... (N-terminal domain)</w:t>
            </w:r>
          </w:p>
        </w:tc>
      </w:tr>
    </w:tbl>
    <w:p>
      <w:pPr>
        <w:shd w:fill="1B6B8A" w:val="clear"/>
        <w:spacing w:after="60" w:before="200"/>
        <w:ind w:left="120"/>
      </w:pPr>
      <w:r>
        <w:rPr>
          <w:b/>
          <w:bCs/>
          <w:color w:val="FFFFFF"/>
          <w:sz w:val="24"/>
          <w:szCs w:val="24"/>
        </w:rPr>
        <w:t xml:space="preserve">2. gRNA Sequences</w:t>
      </w:r>
    </w:p>
    <w:p>
      <w:pPr>
        <w:spacing w:after="60"/>
      </w:pPr>
      <w:r>
        <w:rPr>
          <w:sz w:val="20"/>
          <w:szCs w:val="20"/>
        </w:rPr>
        <w:t xml:space="preserve">Two SpCas9 guides identified on the + strand (NGG PAM). </w:t>
      </w:r>
      <w:r>
        <w:rPr>
          <w:b/>
          <w:bCs/>
          <w:sz w:val="20"/>
          <w:szCs w:val="20"/>
        </w:rPr>
        <w:t xml:space="preserve">gRNA-2 preferred (45% GC, cut 10 bp from mutation, seed-region compatible).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800"/>
        <w:gridCol w:w="720"/>
        <w:gridCol w:w="800"/>
        <w:gridCol w:w="1200"/>
        <w:gridCol w:w="2320"/>
      </w:tblGrid>
      <w:tr>
        <w:trPr>
          <w:tblHeader/>
        </w:trP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Guide (5′→3′)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PAM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Strand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GC%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Cut site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TATAGAATGACAATAGAGAA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CGG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34,391|34,392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 GC, backup only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 ★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GAATGACAATAGAGAACGGC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AGG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+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45%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34,395|34,396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PREFERRED. Mutation at guide pos. 8-10</w:t>
            </w:r>
          </w:p>
        </w:tc>
      </w:tr>
    </w:tbl>
    <w:p>
      <w:pPr>
        <w:spacing w:after="40" w:before="80"/>
      </w:pPr>
      <w:r>
        <w:rPr>
          <w:sz w:val="20"/>
          <w:szCs w:val="20"/>
        </w:rPr>
        <w:t xml:space="preserve">IDT Alt-R® format: crRNA 5′-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GAATGACAATAGAGAACGGC</w:t>
      </w:r>
      <w:r>
        <w:rPr>
          <w:sz w:val="20"/>
          <w:szCs w:val="20"/>
        </w:rPr>
        <w:t xml:space="preserve">-3′  +  tracrRNA (1:1; 95°C → RT annealing)</w:t>
      </w:r>
    </w:p>
    <w:p>
      <w:pPr>
        <w:spacing w:after="60"/>
      </w:pPr>
      <w:r>
        <w:rPr>
          <w:sz w:val="20"/>
          <w:szCs w:val="20"/>
        </w:rPr>
        <w:t xml:space="preserve">Cas9 protein: </w:t>
      </w:r>
      <w:r>
        <w:rPr>
          <w:sz w:val="20"/>
          <w:szCs w:val="20"/>
        </w:rPr>
        <w:t xml:space="preserve">Hi-Fi Cas9 (IDT Alt-R®). RNP complex 1:2.5 (Cas9:gRNA), 100 pmol RNP.</w:t>
      </w:r>
    </w:p>
    <w:p>
      <w:pPr>
        <w:shd w:fill="1B6B8A" w:val="clear"/>
        <w:spacing w:after="60" w:before="200"/>
        <w:ind w:left="120"/>
      </w:pPr>
      <w:r>
        <w:rPr>
          <w:b/>
          <w:bCs/>
          <w:color w:val="FFFFFF"/>
          <w:sz w:val="24"/>
          <w:szCs w:val="24"/>
        </w:rPr>
        <w:t xml:space="preserve">3. Primers</w:t>
      </w:r>
    </w:p>
    <w:p>
      <w:pPr>
        <w:spacing w:after="40"/>
      </w:pPr>
      <w:r>
        <w:rPr>
          <w:sz w:val="20"/>
          <w:szCs w:val="20"/>
        </w:rPr>
        <w:t xml:space="preserve">Expected amplicon: ~445 bp  |  Both primers outside ssODN footprint (34,360–34,486)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100"/>
        <w:gridCol w:w="11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Primer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Sequence (5′→3′)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Tm (°C)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GC%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Genomic position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Forward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CAGAGAGAATGGAGCAAGCC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55%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34,148 (+)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Reverse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AATGGTAGCCACGACCACCA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55%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34,541–34,592 (−)</w:t>
            </w:r>
          </w:p>
        </w:tc>
      </w:tr>
    </w:tbl>
    <w:p>
      <w:pPr>
        <w:spacing w:after="60" w:before="80"/>
      </w:pPr>
      <w:r>
        <w:rPr>
          <w:i/>
          <w:iCs/>
          <w:color w:val="595959"/>
          <w:sz w:val="20"/>
          <w:szCs w:val="20"/>
        </w:rPr>
        <w:t xml:space="preserve">Screening method: Sanger sequencing across amplicon. Amplicon spans intron 3 / exon 4 junction, ensuring genomic (not ssODN) template.</w:t>
      </w:r>
    </w:p>
    <w:p>
      <w:pPr>
        <w:shd w:fill="1B6B8A" w:val="clear"/>
        <w:spacing w:after="60" w:before="200"/>
        <w:ind w:left="120"/>
      </w:pPr>
      <w:r>
        <w:rPr>
          <w:b/>
          <w:bCs/>
          <w:color w:val="FFFFFF"/>
          <w:sz w:val="24"/>
          <w:szCs w:val="24"/>
        </w:rPr>
        <w:t xml:space="preserve">4. Donor Templates (ssODN)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ASSURED protocol</w:t>
      </w:r>
      <w:r>
        <w:rPr>
          <w:sz w:val="20"/>
          <w:szCs w:val="20"/>
        </w:rPr>
        <w:t xml:space="preserve">: 127 nt, asymmetric 36 nt distal + 91 nt proximal HA; target strand = non-PAM strand (RC of gRNA-2 PAM strand). PAM disruption included (c.108G&gt;A, p.Q36Q).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ssODN (gRNA-2)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5'-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  <w:highlight w:val="yellow"/>
                <w:highlightCs w:val="yellow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  <w:highlight w:val="yellow"/>
                <w:highlightCs w:val="yellow"/>
              </w:rPr>
              <w:t xml:space="preserve">T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  <w:highlight w:val="yellow"/>
                <w:highlightCs w:val="yellow"/>
              </w:rPr>
              <w:t xml:space="preserve">C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  <w:highlight w:val="yellow"/>
                <w:highlightCs w:val="yellow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-3'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Length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127 nt  |  91 nt proximal HA (5′) + 36 nt distal HA (3′)  |  Strand: − (non-PAM)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Mutations encoded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c.[95A&gt;G;96T&gt;A] p.N32R</w:t>
            </w:r>
            <w:r>
              <w:rPr>
                <w:sz w:val="20"/>
                <w:szCs w:val="20"/>
              </w:rPr>
              <w:t xml:space="preserve">:  AAT → AGA  (Asn → Arg)  |  ssODN positions 99–101 (0-based: 98–100)</w:t>
            </w:r>
          </w:p>
          <w:p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c.108G&gt;A p.Q36Q (silent PAM block)</w:t>
            </w:r>
            <w:r>
              <w:rPr>
                <w:sz w:val="20"/>
                <w:szCs w:val="20"/>
              </w:rPr>
              <w:t xml:space="preserve">:  CAG → CAA  (Gln → Gln)  |  Disrupts gRNA-2 PAM from AGG → AAG  |  ssODN position 87 (0-based: 86)</w:t>
            </w:r>
          </w:p>
        </w:tc>
      </w:tr>
    </w:tbl>
    <w:p>
      <w:pPr>
        <w:spacing w:after="40" w:before="160"/>
      </w:pPr>
      <w:r>
        <w:rPr>
          <w:b/>
          <w:bCs/>
          <w:sz w:val="20"/>
          <w:szCs w:val="20"/>
        </w:rPr>
        <w:t xml:space="preserve">WT vs. Mutant Alignment (+ strand shown; changes highlighted in bold yellow):</w:t>
      </w:r>
    </w:p>
    <w:p>
      <w:pPr>
        <w:spacing w:after="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Pos:  34360</w:t>
      </w: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  34387</w:t>
      </w: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34400</w:t>
      </w:r>
    </w:p>
    <w:p>
      <w:pPr>
        <w:spacing w:after="8"/>
      </w:pPr>
      <w:r>
        <w:rPr>
          <w:rFonts w:ascii="Courier New" w:cs="Courier New" w:eastAsia="Courier New" w:hAnsi="Courier New"/>
          <w:sz w:val="20"/>
          <w:szCs w:val="20"/>
        </w:rPr>
        <w:t xml:space="preserve">WT:  5′-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/>
          <w:bCs/>
          <w:sz w:val="20"/>
          <w:szCs w:val="20"/>
          <w:highlight w:val="yellow"/>
          <w:highlightCs w:val="yellow"/>
        </w:rPr>
        <w:t xml:space="preserve">A</w:t>
      </w:r>
      <w:r>
        <w:rPr>
          <w:rFonts w:ascii="Courier New" w:cs="Courier New" w:eastAsia="Courier New" w:hAnsi="Courier New"/>
          <w:b/>
          <w:bCs/>
          <w:sz w:val="20"/>
          <w:szCs w:val="20"/>
          <w:highlight w:val="yellow"/>
          <w:highlightCs w:val="yellow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/>
          <w:bCs/>
          <w:sz w:val="20"/>
          <w:szCs w:val="20"/>
          <w:highlight w:val="yellow"/>
          <w:highlightCs w:val="yellow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-3′</w:t>
      </w:r>
    </w:p>
    <w:p>
      <w:pPr>
        <w:spacing w:after="8"/>
      </w:pPr>
      <w:r>
        <w:rPr>
          <w:rFonts w:ascii="Courier New" w:cs="Courier New" w:eastAsia="Courier New" w:hAnsi="Courier New"/>
          <w:sz w:val="20"/>
          <w:szCs w:val="20"/>
        </w:rPr>
        <w:t xml:space="preserve">MUT: 5′-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/>
          <w:bCs/>
          <w:sz w:val="20"/>
          <w:szCs w:val="20"/>
          <w:highlight w:val="yellow"/>
          <w:highlightCs w:val="yellow"/>
        </w:rPr>
        <w:t xml:space="preserve">G</w:t>
      </w:r>
      <w:r>
        <w:rPr>
          <w:rFonts w:ascii="Courier New" w:cs="Courier New" w:eastAsia="Courier New" w:hAnsi="Courier New"/>
          <w:b/>
          <w:bCs/>
          <w:sz w:val="20"/>
          <w:szCs w:val="20"/>
          <w:highlight w:val="yellow"/>
          <w:highlightCs w:val="yellow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/>
          <w:bCs/>
          <w:sz w:val="20"/>
          <w:szCs w:val="20"/>
          <w:highlight w:val="yellow"/>
          <w:highlightCs w:val="yellow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-3′</w:t>
      </w:r>
    </w:p>
    <w:p>
      <w:pPr>
        <w:spacing w:after="8"/>
      </w:pPr>
      <w:r>
        <w:rPr>
          <w:rFonts w:ascii="Courier New" w:cs="Courier New" w:eastAsia="Courier New" w:hAnsi="Courier New"/>
          <w:sz w:val="20"/>
          <w:szCs w:val="20"/>
        </w:rPr>
        <w:t xml:space="preserve">         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sz w:val="20"/>
          <w:szCs w:val="20"/>
          <w:highlight w:val="yellow"/>
          <w:highlightCs w:val="yellow"/>
        </w:rPr>
        <w:t xml:space="preserve">*</w:t>
      </w:r>
      <w:r>
        <w:rPr>
          <w:rFonts w:ascii="Courier New" w:cs="Courier New" w:eastAsia="Courier New" w:hAnsi="Courier New"/>
          <w:b/>
          <w:bCs/>
          <w:sz w:val="20"/>
          <w:szCs w:val="20"/>
          <w:highlight w:val="yellow"/>
          <w:highlightCs w:val="yellow"/>
        </w:rPr>
        <w:t xml:space="preserve">*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sz w:val="20"/>
          <w:szCs w:val="20"/>
          <w:highlight w:val="yellow"/>
          <w:highlightCs w:val="yellow"/>
        </w:rPr>
        <w:t xml:space="preserve">*</w:t>
      </w:r>
    </w:p>
    <w:p>
      <w:pPr>
        <w:spacing w:after="80"/>
      </w:pPr>
      <w:r>
        <w:rPr>
          <w:b/>
          <w:bCs/>
          <w:color w:val="595959"/>
          <w:sz w:val="18"/>
          <w:szCs w:val="18"/>
        </w:rPr>
        <w:t xml:space="preserve">Legend: </w:t>
      </w:r>
      <w:r>
        <w:rPr>
          <w:i/>
          <w:iCs/>
          <w:color w:val="595959"/>
          <w:sz w:val="18"/>
          <w:szCs w:val="18"/>
        </w:rPr>
        <w:t xml:space="preserve">Bold yellow = mutation site. N32R codon (pos 34,386–34,388), Q36Q PAM block (pos 34,400).</w:t>
      </w:r>
    </w:p>
    <w:p>
      <w:pPr>
        <w:shd w:fill="1B6B8A" w:val="clear"/>
        <w:spacing w:after="60" w:before="200"/>
        <w:ind w:left="120"/>
      </w:pPr>
      <w:r>
        <w:rPr>
          <w:b/>
          <w:bCs/>
          <w:color w:val="FFFFFF"/>
          <w:sz w:val="24"/>
          <w:szCs w:val="24"/>
        </w:rPr>
        <w:t xml:space="preserve">5. Off-Target Site Assessment</w:t>
      </w:r>
    </w:p>
    <w:p>
      <w:pPr>
        <w:spacing w:after="60"/>
      </w:pPr>
      <w:r>
        <w:rPr>
          <w:sz w:val="20"/>
          <w:szCs w:val="20"/>
        </w:rPr>
        <w:t xml:space="preserve">Assess gRNA-1 and gRNA-2 via Cas-OFFinder (hg38). Require 0 perfect matches, 0 one-mismatch, ≤10 two-mismatch off-targets in coding regions. Top 5 hits to be Sanger-verified in final clones.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Run Cas-OFFinder: http://www.rgenome.net/cas-offinder  (SpCas9, NAG+NGG PAM, ≤4 mismatches)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gRNA-2 preferred: GAATGACAATAGAGAACGGC + AGG  — verify no perfect or 1-mm off-targets in exons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gRNA-1 fallback: TATAGAATGACAATAGAGAA + CGG  — 25% GC, use only if gRNA-2 fails off-target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WGS recommended for selected clones if iPSC work; targeted amplicon seq minimum.</w:t>
      </w:r>
    </w:p>
    <w:p>
      <w:pPr>
        <w:shd w:fill="1B6B8A" w:val="clear"/>
        <w:spacing w:after="60" w:before="200"/>
        <w:ind w:left="120"/>
      </w:pPr>
      <w:r>
        <w:rPr>
          <w:b/>
          <w:bCs/>
          <w:color w:val="FFFFFF"/>
          <w:sz w:val="24"/>
          <w:szCs w:val="24"/>
        </w:rPr>
        <w:t xml:space="preserve">6. Additional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Cas9 / RNP: </w:t>
      </w:r>
      <w:r>
        <w:rPr>
          <w:sz w:val="20"/>
          <w:szCs w:val="20"/>
        </w:rPr>
        <w:t xml:space="preserve">Hi-Fi Cas9 (IDT) | Alt-R crRNA:tracrRNA (1:1; 95°C → RT, 5 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Electroporation: </w:t>
      </w:r>
      <w:r>
        <w:rPr>
          <w:sz w:val="20"/>
          <w:szCs w:val="20"/>
        </w:rPr>
        <w:t xml:space="preserve">RNP 1:2.5 (Cas9:gRNA), 100 pmol ssODN | Lonza 4D, program CA-137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Cell line: </w:t>
      </w:r>
      <w:r>
        <w:rPr>
          <w:sz w:val="20"/>
          <w:szCs w:val="20"/>
        </w:rPr>
        <w:t xml:space="preserve">KOLF2.1J hiPSC | mTeSR1 + Y-27632 (10 μM) | Matrigel-coated plates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ssODN strand rationale: </w:t>
      </w:r>
      <w:r>
        <w:rPr>
          <w:sz w:val="20"/>
          <w:szCs w:val="20"/>
        </w:rPr>
        <w:t xml:space="preserve">Non-PAM (antisense) strand per ASSURED protocol (Richardson et al. 2016, Nat Biotechnol 34:339–44; Liang et al. 2023, STAR Protocols 4:102315).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PAM disruption rationale: </w:t>
      </w:r>
      <w:r>
        <w:rPr>
          <w:sz w:val="20"/>
          <w:szCs w:val="20"/>
        </w:rPr>
        <w:t xml:space="preserve">c.108G&gt;A (Q36Q) converts AGG → AAG at the PAM site, preventing Cas9 re-cutting after successful HDR. The N32R mutation alone (positions 8–10 of guide, outside seed region) is insufficient for reliable re-cutting prevention.</w:t>
      </w:r>
    </w:p>
    <w:p>
      <w:pPr>
        <w:shd w:fill="1B6B8A" w:val="clear"/>
        <w:spacing w:after="60" w:before="200"/>
        <w:ind w:left="120"/>
      </w:pPr>
      <w:r>
        <w:rPr>
          <w:b/>
          <w:bCs/>
          <w:color w:val="FFFFFF"/>
          <w:sz w:val="24"/>
          <w:szCs w:val="24"/>
        </w:rPr>
        <w:t xml:space="preserve">7. Comments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Screen 48–96 colonies by Sanger sequencing across full ssODN footprint (34,360–34,486).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Confirm both alleles (WT and het-KI) by allele-specific sequencing or TOPO cloning before homozygous line selection.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Check for residual Cas9 re-cutting: absence of indels at gRNA-2 site confirms effective PAM disruption.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p.N32R is in the N-terminal cytoplasmic loop (aa 1–67) preceding TM1. Verify protein expression by western blot with anti-PSEN1 N-terminal antibody after knock-in.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Isogenic WT control: include a separate electroporation with gRNA-2 RNP only (no ssODN) to assess indel rates and confirm HDR efficiency.</w:t>
      </w:r>
    </w:p>
    <w:p>
      <w:pPr>
        <w:shd w:fill="1B6B8A" w:val="clear"/>
        <w:spacing w:after="60" w:before="200"/>
        <w:ind w:left="120"/>
      </w:pPr>
      <w:r>
        <w:rPr>
          <w:b/>
          <w:bCs/>
          <w:color w:val="FFFFFF"/>
          <w:sz w:val="24"/>
          <w:szCs w:val="24"/>
        </w:rPr>
        <w:t xml:space="preserve">References</w:t>
      </w:r>
    </w:p>
    <w:p>
      <w:pPr>
        <w:spacing w:after="30"/>
      </w:pPr>
      <w:r>
        <w:rPr>
          <w:sz w:val="18"/>
          <w:szCs w:val="18"/>
        </w:rPr>
        <w:t xml:space="preserve">Richardson CD et al. (2016) Enhancing homology-directed genome editing by catalytically active and inactive CRISPR-Cas9 using asymmetric donor DNA. Nat Biotechnol 34(3):339–44.</w:t>
      </w:r>
    </w:p>
    <w:p>
      <w:pPr>
        <w:spacing w:after="30"/>
      </w:pPr>
      <w:r>
        <w:rPr>
          <w:sz w:val="18"/>
          <w:szCs w:val="18"/>
        </w:rPr>
        <w:t xml:space="preserve">Liang X et al. (2023) STAR Protocols 4(2):102315.</w:t>
      </w:r>
    </w:p>
    <w:p>
      <w:pPr>
        <w:spacing w:after="30"/>
      </w:pPr>
      <w:r>
        <w:rPr>
          <w:sz w:val="18"/>
          <w:szCs w:val="18"/>
        </w:rPr>
        <w:t xml:space="preserve">Cho SW et al. (2014) Analysis of off-target effects of CRISPR/Cas-derived RNA-guided endonucleases and nickases. Genome Res 24(1):132–41.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B8A" w:sz="6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PSEN1 | Exon 4 | hg38 chr14:73136418-73223691 | GRCh38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8A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B6B8A"/>
        <w:sz w:val="20"/>
        <w:szCs w:val="20"/>
      </w:rPr>
      <w:t xml:space="preserve">PSEN1 p.N32R — CRISPR KI Design Strategy</w:t>
    </w:r>
    <w:r>
      <w:rPr>
        <w:rFonts w:ascii="Arial" w:cs="Arial" w:eastAsia="Arial" w:hAnsi="Arial"/>
        <w:color w:val="595959"/>
        <w:sz w:val="20"/>
        <w:szCs w:val="20"/>
      </w:rPr>
      <w:t xml:space="preserve">		Narasimha Telugu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B6B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6B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2026-03-06T20:28:06.593Z</dcterms:created>
  <dcterms:modified xsi:type="dcterms:W3CDTF">2026-03-06T20:28:06.594Z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