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6B8A"/>
          <w:sz w:val="48"/>
          <w:szCs w:val="48"/>
        </w:rPr>
        <w:t xml:space="preserve">Design Strategy: PSEN1 p.N32R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Missense substitution (polar neutral → basic) in N-terminal cytoplasmic domain of PSEN1. Exon 4.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Gene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PSEN1 (Presenilin-1)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HGNC ID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HGNC:9508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Transcript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ENST00000324501 (CCDS9812)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Genome build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GRCh38 / hg38  |  chr14:73,136,418–73,223,691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Exon 4 (PSEN1-001)  |  Genomic pos: 34,380–34,630 (within gene record)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variant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c.[95A&gt;G;96T&gt;A]  |  p.Asn32Arg (p.N32R)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Codon change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AAT → AGA  (Asparagine → Arginine)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Codon 32 pos.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Genomic positions 34,386–34,388 (1-based, within gene record)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Protein context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...Q29–N30–D31–N32–R33–E34–R35–Q36...  (N-terminal cytoplasmic domain)</w:t>
            </w:r>
          </w:p>
        </w:tc>
      </w:tr>
    </w:tbl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gRNA Sequences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SpCas9 guides on + strand. Each paired with its own ssODN below.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gRNA-2 preferred (45% GC).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700"/>
        <w:gridCol w:w="620"/>
        <w:gridCol w:w="680"/>
        <w:gridCol w:w="1100"/>
        <w:gridCol w:w="2900"/>
      </w:tblGrid>
      <w:tr>
        <w:trPr>
          <w:tblHeader/>
        </w:trP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 (5′→3′)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PAM</w:t>
            </w:r>
          </w:p>
        </w:tc>
        <w:tc>
          <w:tcPr>
            <w:tcW w:type="dxa" w:w="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 site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ssODN PAM block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TATAGAATGACAATAGAGAA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CGG</w:t>
            </w:r>
          </w:p>
        </w:tc>
        <w:tc>
          <w:tcPr>
            <w:tcW w:type="dxa" w:w="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34,391|34,392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c.105G&gt;A p.R35R (CGG→CGA)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★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GAATGACAATAGAGAACGGC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AGG</w:t>
            </w:r>
          </w:p>
        </w:tc>
        <w:tc>
          <w:tcPr>
            <w:tcW w:type="dxa" w:w="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34,395|34,396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c.108G&gt;A p.Q36Q (CAG→CAA)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IDT Alt-R® crRNA format  —  gRNA-1: 5′-</w:t>
      </w:r>
      <w:r>
        <w:rPr>
          <w:rFonts w:ascii="Courier New" w:cs="Courier New" w:eastAsia="Courier New" w:hAnsi="Courier New"/>
          <w:sz w:val="20"/>
          <w:szCs w:val="20"/>
        </w:rPr>
        <w:t xml:space="preserve">TATAGAATGACAATAGAGAA</w:t>
      </w:r>
      <w:r>
        <w:rPr>
          <w:rFonts w:ascii="Arial" w:cs="Arial" w:eastAsia="Arial" w:hAnsi="Arial"/>
          <w:sz w:val="20"/>
          <w:szCs w:val="20"/>
        </w:rPr>
        <w:t xml:space="preserve">-3′   |   gRNA-2: 5′-</w:t>
      </w:r>
      <w:r>
        <w:rPr>
          <w:rFonts w:ascii="Courier New" w:cs="Courier New" w:eastAsia="Courier New" w:hAnsi="Courier New"/>
          <w:sz w:val="20"/>
          <w:szCs w:val="20"/>
        </w:rPr>
        <w:t xml:space="preserve">GAATGACAATAGAGAACGGC</w:t>
      </w:r>
      <w:r>
        <w:rPr>
          <w:rFonts w:ascii="Arial" w:cs="Arial" w:eastAsia="Arial" w:hAnsi="Arial"/>
          <w:sz w:val="20"/>
          <w:szCs w:val="20"/>
        </w:rPr>
        <w:t xml:space="preserve">-3′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Cas9: </w:t>
      </w:r>
      <w:r>
        <w:rPr>
          <w:rFonts w:ascii="Arial" w:cs="Arial" w:eastAsia="Arial" w:hAnsi="Arial"/>
          <w:sz w:val="20"/>
          <w:szCs w:val="20"/>
        </w:rPr>
        <w:t xml:space="preserve">Hi-Fi Cas9 (IDT Alt-R®). RNP: 1:2.5 (Cas9:gRNA), 100 pmol. crRNA:tracrRNA 1:1; 95°C → RT, 5 min.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Primers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Expected amplicon: ~445 bp  |  Both primers outside ssODN-1 (34,356–34,482) and ssODN-2 (34,360–34,486) footprints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100"/>
        <w:gridCol w:w="11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Sequence (5′→3′)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 (°C)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GC%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Genomic position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CAGAGAGAATGGAGCAAGCC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34,148 (+)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AATGGTAGCCACGACCACCA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34,541–34,592 (−)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Screening: Sanger sequencing across full amplicon. Primers span intron 3/exon 4 junction (fwd in intron 3 at 34,148) — ensures genomic template amplification and ssODN exclusion.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Donor Templates (ssODN)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ASSURED protocol</w:t>
      </w:r>
      <w:r>
        <w:rPr>
          <w:rFonts w:ascii="Arial" w:cs="Arial" w:eastAsia="Arial" w:hAnsi="Arial"/>
          <w:sz w:val="20"/>
          <w:szCs w:val="20"/>
        </w:rPr>
        <w:t xml:space="preserve">: 127 nt each, asymmetric 36 nt distal HA + 91 nt proximal HA; non-PAM strand (− strand = RC of gRNA protospacer strand). PAM-disrupting silent mutation included in each. Mutations shown in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bold yellow</w:t>
      </w:r>
      <w:r>
        <w:rPr>
          <w:rFonts w:ascii="Arial" w:cs="Arial" w:eastAsia="Arial" w:hAnsi="Arial"/>
          <w:sz w:val="20"/>
          <w:szCs w:val="20"/>
        </w:rPr>
        <w:t xml:space="preserve">. Proximal HA coloured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dark blue</w:t>
      </w:r>
      <w:r>
        <w:rPr>
          <w:rFonts w:ascii="Arial" w:cs="Arial" w:eastAsia="Arial" w:hAnsi="Arial"/>
          <w:sz w:val="20"/>
          <w:szCs w:val="20"/>
        </w:rPr>
        <w:t xml:space="preserve">, distal HA in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6B8A"/>
          <w:sz w:val="22"/>
          <w:szCs w:val="22"/>
        </w:rPr>
        <w:t xml:space="preserve">Donor for gRNA-1 (CGG PAM)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5′-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C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-3′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Length / Strand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 nt  |  91 nt proximal HA (5′, dark blue) + 36 nt distal HA (3′, green)  |  Strand: − (non-PAM)  |  + strand span: 34356–34482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Encoded mutations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c.[95A&gt;G;96T&gt;A] p.N32R: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AAT → AGA (Asn → Arg)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c.105G&gt;A p.R35R (silent PAM block):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PAM disrupted: CGG → CGA (not xGG). Re-cutting blocked.</w:t>
            </w:r>
          </w:p>
        </w:tc>
      </w:tr>
    </w:tbl>
    <w:p>
      <w:pPr>
        <w:spacing w:after="120" w:before="60"/>
      </w:pPr>
      <w:r>
        <w:rPr>
          <w:sz w:val="12"/>
          <w:szCs w:val="12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6B8A"/>
          <w:sz w:val="22"/>
          <w:szCs w:val="22"/>
        </w:rPr>
        <w:t xml:space="preserve">Donor for gRNA-2 (AGG PAM)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5′-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C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  <w:highlight w:val="yellow"/>
                <w:highlightCs w:val="yellow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-3′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Length / Strand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 nt  |  91 nt proximal HA (5′, dark blue) + 36 nt distal HA (3′, green)  |  Strand: − (non-PAM)  |  + strand span: 34360–34486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Encoded mutations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c.[95A&gt;G;96T&gt;A] p.N32R: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AAT → AGA (Asn → Arg)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c.108G&gt;A p.Q36Q (silent PAM block):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PAM disrupted: AGG → AAG (not xGG). Re-cutting blocked.</w:t>
            </w:r>
          </w:p>
        </w:tc>
      </w:tr>
    </w:tbl>
    <w:p>
      <w:pPr>
        <w:spacing w:after="4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WT vs. Mutant alignment (+ strand, positions 34,360–34,415; changes in bold yellow):</w:t>
      </w:r>
    </w:p>
    <w:p>
      <w:pPr>
        <w:spacing w:after="6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Pos:  34360</w:t>
      </w: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                  34387</w:t>
      </w:r>
      <w:r>
        <w:rPr>
          <w:rFonts w:ascii="Courier New" w:cs="Courier New" w:eastAsia="Courier New" w:hAnsi="Courier New"/>
          <w:color w:val="C55A11"/>
          <w:sz w:val="18"/>
          <w:szCs w:val="18"/>
        </w:rPr>
        <w:t xml:space="preserve">    34400</w:t>
      </w:r>
    </w:p>
    <w:p>
      <w:pPr>
        <w:spacing w:after="4"/>
      </w:pPr>
      <w:r>
        <w:rPr>
          <w:rFonts w:ascii="Courier New" w:cs="Courier New" w:eastAsia="Courier New" w:hAnsi="Courier New"/>
          <w:sz w:val="20"/>
          <w:szCs w:val="20"/>
        </w:rPr>
        <w:t xml:space="preserve">WT:  5′-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  <w:highlight w:val="yellow"/>
          <w:highlightCs w:val="yellow"/>
        </w:rPr>
        <w:t xml:space="preserve">A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  <w:highlight w:val="yellow"/>
          <w:highlightCs w:val="yellow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  <w:highlight w:val="yellow"/>
          <w:highlightCs w:val="yellow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-3′</w:t>
      </w:r>
    </w:p>
    <w:p>
      <w:pPr>
        <w:spacing w:after="4"/>
      </w:pPr>
      <w:r>
        <w:rPr>
          <w:rFonts w:ascii="Courier New" w:cs="Courier New" w:eastAsia="Courier New" w:hAnsi="Courier New"/>
          <w:sz w:val="20"/>
          <w:szCs w:val="20"/>
        </w:rPr>
        <w:t xml:space="preserve">MUT: 5′-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  <w:highlight w:val="yellow"/>
          <w:highlightCs w:val="yellow"/>
        </w:rPr>
        <w:t xml:space="preserve">G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  <w:highlight w:val="yellow"/>
          <w:highlightCs w:val="yellow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  <w:highlight w:val="yellow"/>
          <w:highlightCs w:val="yellow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G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A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sz w:val="20"/>
          <w:szCs w:val="20"/>
        </w:rPr>
        <w:t xml:space="preserve">-3′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Legend: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Bold yellow = change site. Pos 34,387–34,388: N32R (AAT→AGA). Pos 34,400: Q36Q PAM block for ssODN-2 (c.108G&gt;A). ssODN-1 PAM block (c.105G&gt;A, pos 34,397) is outside this window.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Off-Target Site Assessment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Assess gRNA-1 and gRNA-2 independently via Cas-OFFinder (hg38, NAG+NGG PAM, ≤4 mismatches). Require 0 perfect, 0 one-mismatch, ≤10 two-mismatch off-targets in coding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Cas-OFFinder: http://www.rgenome.net/cas-offinder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gRNA-2 (preferred): GAATGACAATAGAGAACGGC + AGG — verify no exonic perfect/1-mm hits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gRNA-1 (backup): TATAGAATGACAATAGAGAA + CGG — lower GC, use if gRNA-2 fails off-target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Sanger-verify top 5 off-target loci per guide in final clones. WGS recommended for iPSC lines.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Additional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RNP assembly: </w:t>
      </w:r>
      <w:r>
        <w:rPr>
          <w:rFonts w:ascii="Arial" w:cs="Arial" w:eastAsia="Arial" w:hAnsi="Arial"/>
          <w:sz w:val="20"/>
          <w:szCs w:val="20"/>
        </w:rPr>
        <w:t xml:space="preserve">Hi-Fi Cas9 (IDT) | Alt-R crRNA:tracrRNA (1:1; 95°C → RT, 5 min) | 1:2.5 Cas9:gRNA | 100 pmol ssODN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Electroporation: </w:t>
      </w:r>
      <w:r>
        <w:rPr>
          <w:rFonts w:ascii="Arial" w:cs="Arial" w:eastAsia="Arial" w:hAnsi="Arial"/>
          <w:sz w:val="20"/>
          <w:szCs w:val="20"/>
        </w:rPr>
        <w:t xml:space="preserve">Lonza 4D Nucleofector | Program CA-137 | KOLF2.1J hiPSC | mTeSR1 + 10 μM Y-27632 | Matrigel-coated 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PAM disruption rationale: </w:t>
      </w:r>
      <w:r>
        <w:rPr>
          <w:rFonts w:ascii="Arial" w:cs="Arial" w:eastAsia="Arial" w:hAnsi="Arial"/>
          <w:sz w:val="20"/>
          <w:szCs w:val="20"/>
        </w:rPr>
        <w:t xml:space="preserve">N32R mutation falls at guide positions 8–10 (outside SpCas9 seed region ≈14–20), insufficient alone to block re-cutting. Silent synonymous mutation at PAM is the primary re-cutting safeguard.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ssODN strand (ASSURED): </w:t>
      </w:r>
      <w:r>
        <w:rPr>
          <w:rFonts w:ascii="Arial" w:cs="Arial" w:eastAsia="Arial" w:hAnsi="Arial"/>
          <w:sz w:val="20"/>
          <w:szCs w:val="20"/>
        </w:rPr>
        <w:t xml:space="preserve">Non-PAM antisense strand per Richardson et al. 2016 (Nat Biotechnol 34:339–44); asymmetric 91 nt proximal + 36 nt distal.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Order: </w:t>
      </w:r>
      <w:r>
        <w:rPr>
          <w:rFonts w:ascii="Arial" w:cs="Arial" w:eastAsia="Arial" w:hAnsi="Arial"/>
          <w:sz w:val="20"/>
          <w:szCs w:val="20"/>
        </w:rPr>
        <w:t xml:space="preserve">IDT Ultramer® DNA oligo (PAGE-purified) for each ssODN. Resuspend in TE, 100 μM stock.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Comments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Screen 48–96 colonies per condition by Sanger sequencing across full ssODN footprint.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gRNA-1+ssODN-1 and gRNA-2+ssODN-2 as independent electroporation conditions — compare HDR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both alleles (WT and het-KI) by allele-specific sequencing or TOPO cloning before homozygous selection.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p.N32R sits in the N-terminal cytoplasmic loop (aa 1–67) preceding TM1. Verify full-length PSEN1 expression by western blot with anti-N-terminal antibody post-KI.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Isogenic control: include RNP-only electroporation (no ssODN) for each guide to assess indel rate.</w:t>
      </w:r>
    </w:p>
    <w:p>
      <w:pPr>
        <w:shd w:fill="1B6B8A" w:val="clear"/>
        <w:spacing w:after="60" w:before="2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References</w:t>
      </w:r>
    </w:p>
    <w:p>
      <w:pPr>
        <w:spacing w:after="30"/>
      </w:pPr>
      <w:r>
        <w:rPr>
          <w:rFonts w:ascii="Arial" w:cs="Arial" w:eastAsia="Arial" w:hAnsi="Arial"/>
          <w:sz w:val="18"/>
          <w:szCs w:val="18"/>
        </w:rPr>
        <w:t xml:space="preserve">Richardson CD et al. (2016) Enhancing homology-directed genome editing by catalytically active and inactive CRISPR-Cas9 using asymmetric donor DNA. Nat Biotechnol 34(3):339–44.</w:t>
      </w:r>
    </w:p>
    <w:p>
      <w:pPr>
        <w:spacing w:after="30"/>
      </w:pPr>
      <w:r>
        <w:rPr>
          <w:rFonts w:ascii="Arial" w:cs="Arial" w:eastAsia="Arial" w:hAnsi="Arial"/>
          <w:sz w:val="18"/>
          <w:szCs w:val="18"/>
        </w:rPr>
        <w:t xml:space="preserve">Liang X et al. (2023) STAR Protocols 4(2):102315.</w:t>
      </w:r>
    </w:p>
    <w:p>
      <w:pPr>
        <w:spacing w:after="30"/>
      </w:pPr>
      <w:r>
        <w:rPr>
          <w:rFonts w:ascii="Arial" w:cs="Arial" w:eastAsia="Arial" w:hAnsi="Arial"/>
          <w:sz w:val="18"/>
          <w:szCs w:val="18"/>
        </w:rPr>
        <w:t xml:space="preserve">Cho SW et al. (2014) Genome Res 24(1):132–41.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8A" w:sz="6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PSEN1 | Exon 4 | hg38 chr14:73,136,418–73,223,691 | GRCh38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8A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B6B8A"/>
        <w:sz w:val="20"/>
        <w:szCs w:val="20"/>
      </w:rPr>
      <w:t xml:space="preserve">PSEN1 p.N32R — CRISPR KI Design Strategy</w:t>
    </w:r>
    <w:r>
      <w:rPr>
        <w:rFonts w:ascii="Arial" w:cs="Arial" w:eastAsia="Arial" w:hAnsi="Arial"/>
        <w:color w:val="595959"/>
        <w:sz w:val="20"/>
        <w:szCs w:val="20"/>
      </w:rPr>
      <w:t xml:space="preserve">		Narasimha Telugu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6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6B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2026-03-06T20:53:29.376Z</dcterms:created>
  <dcterms:modified xsi:type="dcterms:W3CDTF">2026-03-06T20:53:29.382Z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