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Group: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Gergardt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Iris ID: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responsible: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Narasimha Telugu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Construct: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ECSIT C-terminal SD40-2×HA-P2A-mCherry KI Targeting Vector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Based on: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FOXO1 targeting vector architecture</w:t>
            </w:r>
          </w:p>
        </w:tc>
      </w:tr>
    </w:tbl>
    <w:p>
      <w:pPr>
        <w:spacing w:before="60" w:after="60"/>
      </w:pPr>
    </w:p>
    <w:p>
      <w:pPr>
        <w:pStyle w:val="Heading1"/>
      </w:pPr>
      <w:r>
        <w:t xml:space="preserve">ECSIT: SD40 C-terminal KI Targeting Vector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C-terminal knock-in of SD40-2×HA-P2A-mCherry cassette at ECSIT, replacing the stop codon (TAG) with GCA (Ala) in Exon 8. Includes floxed PGK-NeoR selection cassette (removable by Cre) and mCherry fluorescent reporter (P2A-cleaved). Architecture identical to FOXO1 targeting vector.</w:t>
      </w:r>
    </w:p>
    <w:p>
      <w:pPr>
        <w:spacing w:before="60" w:after="60"/>
      </w:pPr>
    </w:p>
    <w:p>
      <w:pPr>
        <w:pStyle w:val="Heading2"/>
      </w:pPr>
      <w:r>
        <w:t xml:space="preserve">1. Gene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ECSIT (ENSG00000130159, NM_016581, CCDS6099)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Chr19:12,791,997–12,815,255 (+strand) | 8 exons | 431 aa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codon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in Exon 8 (genomic pos 23989–23991 in GenBank)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 position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C-terminal, stop codon → Ala (GCA)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SD40 (108 bp) + 2×HA + P2A + mCherry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2. gRNA Sequences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Both gRNAs cut within 1–7 bp of the stop codon. Both target sites span the 5′HA/insert junction — KI intrinsically prevents re-cutting. Silent mutations in 5′HA provide extra safety.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700"/>
        <w:gridCol w:w="21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PAM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ECSIT_KI_gRNA1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GCGCCGGCTCAGACTAGCTC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−strand, cut −1 bp, GC=70%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ECSIT_KI_gRNA2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GGGCCAGAGCTAGTCTGAGC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+strand, cut +7 bp, GC=65%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3. Genotyping Primers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Genomic primers outside 750 bp HAs. Junction-specific primers use one genomic + one cassette-internal primer.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(5′→3′)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ECSIT_KI_Fw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GAGAGGAGCATGCCTTGAGTGGGG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50 bp outside 5′HA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ECSIT_KI_Rev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CGGCCCGGCTCCTGGGCGGGGTCC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50 bp outside 3′HA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Jxn Rev (in tag)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GTAAACCCGCAAATAGGGCAGAAC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SD40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Jxn Fw (mCherry)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4"/>
                <w:szCs w:val="14"/>
              </w:rPr>
              <w:t xml:space="preserve">GACAACACCGAGGACGGCAGCGTG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 mCherry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4. Targeting Vector Architecture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Total size: 4388 bp (750 bp 5′HA + 2888 bp cassette + 750 bp 3′HA)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5′ Homology Arm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Exon 8 coding (pos 23239–23988, with silent muts S431S, Q430Q)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STOP → Ala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TAG replaced with GCA (Ala)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GS-rich flexible linker (from FOXO1 vector)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SD40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SD40 proximity labeling domain (from TP53BP1 HR template)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2×HA epitope tags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YPYDVPDYA × 2 (detection by anti-HA antibody)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Self-cleaving peptide (separates reporter from fusion protein)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mCherry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711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Fluorescent reporter (confirms KI, P2A-cleaved, independent)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LoxP1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 recombinase recognition site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PGK promoter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515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Drives NeoR expression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801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Neomycin resistance (G418 selection: 200–400 µg/mL)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bGH polyA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303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Polyadenylation signal for NeoR transcript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LoxP2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 recombinase recognition site (pair with LoxP1)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3′ Homology Arm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750 bp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3′UTR + downstream (pos 23992–24741)</w:t>
            </w:r>
          </w:p>
        </w:tc>
      </w:tr>
    </w:tbl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Silent mutations in 5′HA: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1. c.1293C&gt;T (AGC→AGT, p.S431S) at donor pos 750 — seed disruption both gRNAs</w:t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0"/>
          <w:szCs w:val="20"/>
        </w:rPr>
        <w:t xml:space="preserve">2. c.1290G&gt;A (CAG→CAA, p.Q430Q) at donor pos 747 — additional seed disruption</w:t>
      </w:r>
    </w:p>
    <w:p>
      <w:pPr>
        <w:spacing w:before="60" w:after="60"/>
      </w:pPr>
    </w:p>
    <w:p>
      <w:pPr>
        <w:pStyle w:val="Heading2"/>
      </w:pPr>
      <w:r>
        <w:t xml:space="preserve">5. Complete Donor Sequence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4388 bp total. Synthesize as gene fragment or clone into plasmid backbone.</w:t>
      </w:r>
    </w:p>
    <w:p>
      <w:pPr>
        <w:spacing w:before="60"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Color key:  </w:t>
      </w:r>
      <w:r>
        <w:rPr>
          <w:rFonts w:ascii="Arial" w:cs="Arial" w:eastAsia="Arial" w:hAnsi="Arial"/>
          <w:b/>
          <w:bCs/>
          <w:color w:val="2E75B6"/>
          <w:sz w:val="16"/>
          <w:szCs w:val="16"/>
        </w:rPr>
        <w:t xml:space="preserve">■ 5′HA  </w:t>
      </w:r>
      <w:r>
        <w:rPr>
          <w:rFonts w:ascii="Arial" w:cs="Arial" w:eastAsia="Arial" w:hAnsi="Arial"/>
          <w:b/>
          <w:bCs/>
          <w:color w:val="27AE60"/>
          <w:sz w:val="16"/>
          <w:szCs w:val="16"/>
        </w:rPr>
        <w:t xml:space="preserve">■ SD40  </w:t>
      </w:r>
      <w:r>
        <w:rPr>
          <w:rFonts w:ascii="Arial" w:cs="Arial" w:eastAsia="Arial" w:hAnsi="Arial"/>
          <w:b/>
          <w:bCs/>
          <w:color w:val="E67E22"/>
          <w:sz w:val="16"/>
          <w:szCs w:val="16"/>
        </w:rPr>
        <w:t xml:space="preserve">■ 2×HA  </w:t>
      </w:r>
      <w:r>
        <w:rPr>
          <w:rFonts w:ascii="Arial" w:cs="Arial" w:eastAsia="Arial" w:hAnsi="Arial"/>
          <w:b/>
          <w:bCs/>
          <w:color w:val="9B59B6"/>
          <w:sz w:val="16"/>
          <w:szCs w:val="16"/>
        </w:rPr>
        <w:t xml:space="preserve">■ P2A  </w:t>
      </w: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■ mCherry  </w:t>
      </w:r>
      <w:r>
        <w:rPr>
          <w:rFonts w:ascii="Arial" w:cs="Arial" w:eastAsia="Arial" w:hAnsi="Arial"/>
          <w:b/>
          <w:bCs/>
          <w:color w:val="2980B9"/>
          <w:sz w:val="16"/>
          <w:szCs w:val="16"/>
        </w:rPr>
        <w:t xml:space="preserve">■ PGK  </w:t>
      </w:r>
      <w:r>
        <w:rPr>
          <w:rFonts w:ascii="Arial" w:cs="Arial" w:eastAsia="Arial" w:hAnsi="Arial"/>
          <w:b/>
          <w:bCs/>
          <w:color w:val="16A085"/>
          <w:sz w:val="16"/>
          <w:szCs w:val="16"/>
        </w:rPr>
        <w:t xml:space="preserve">■ NeoR  </w:t>
      </w:r>
      <w:r>
        <w:rPr>
          <w:rFonts w:ascii="Arial" w:cs="Arial" w:eastAsia="Arial" w:hAnsi="Arial"/>
          <w:b/>
          <w:bCs/>
          <w:color w:val="065A82"/>
          <w:sz w:val="16"/>
          <w:szCs w:val="16"/>
        </w:rPr>
        <w:t xml:space="preserve">■ bGHpA  </w:t>
      </w:r>
      <w:r>
        <w:rPr>
          <w:rFonts w:ascii="Arial" w:cs="Arial" w:eastAsia="Arial" w:hAnsi="Arial"/>
          <w:b/>
          <w:bCs/>
          <w:color w:val="F39C12"/>
          <w:sz w:val="16"/>
          <w:szCs w:val="16"/>
        </w:rPr>
        <w:t xml:space="preserve">■ LoxP  </w:t>
      </w:r>
      <w:r>
        <w:rPr>
          <w:rFonts w:ascii="Arial" w:cs="Arial" w:eastAsia="Arial" w:hAnsi="Arial"/>
          <w:b/>
          <w:bCs/>
          <w:color w:val="065A82"/>
          <w:sz w:val="16"/>
          <w:szCs w:val="16"/>
        </w:rPr>
        <w:t xml:space="preserve">■ 3′HA  </w:t>
      </w:r>
      <w:r>
        <w:rPr>
          <w:rFonts w:ascii="Arial" w:cs="Arial" w:eastAsia="Arial" w:hAnsi="Arial"/>
          <w:b/>
          <w:bCs/>
          <w:color w:val="CC0000"/>
          <w:sz w:val="16"/>
          <w:szCs w:val="16"/>
          <w:shd w:fill="FFFF00" w:val="clear"/>
        </w:rPr>
        <w:t xml:space="preserve">■ Silent mut</w:t>
      </w:r>
    </w:p>
    <w:p>
      <w:pPr>
        <w:spacing w:before="60" w:after="60"/>
      </w:pP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 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 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161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241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321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401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481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561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641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721  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E75B6"/>
          <w:sz w:val="11"/>
          <w:szCs w:val="11"/>
        </w:rPr>
        <w:t xml:space="preserve">G</w:t>
      </w:r>
      <w:r>
        <w:rPr>
          <w:rFonts w:ascii="Consolas" w:cs="Consolas" w:eastAsia="Consolas" w:hAnsi="Consolas"/>
          <w:b/>
          <w:bCs/>
          <w:color w:val="CC0000"/>
          <w:sz w:val="11"/>
          <w:szCs w:val="11"/>
          <w:shd w:fill="FFFF00" w:val="clear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E44AD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801  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881  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7AE60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E67E2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 961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9B59B6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1041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1121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1201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1281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1361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1441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1521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1601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1681  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C0392B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1761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1841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1921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2001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2081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2161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2241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2321  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2980B9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2401  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2481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2561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2641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2721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2801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2881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2961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3041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3121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3201  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16A085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3281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3361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3441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3521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3601  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F39C1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888888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3681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3761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3841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3921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4001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4081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4161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4241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</w:p>
    <w:p>
      <w:pPr>
        <w:spacing w:after="2"/>
      </w:pPr>
      <w:r>
        <w:rPr>
          <w:rFonts w:ascii="Consolas" w:cs="Consolas" w:eastAsia="Consolas" w:hAnsi="Consolas"/>
          <w:color w:val="999999"/>
          <w:sz w:val="11"/>
          <w:szCs w:val="11"/>
        </w:rPr>
        <w:t xml:space="preserve"> 4321  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T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A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G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  <w:r>
        <w:rPr>
          <w:rFonts w:ascii="Consolas" w:cs="Consolas" w:eastAsia="Consolas" w:hAnsi="Consolas"/>
          <w:b w:val="false"/>
          <w:bCs w:val="false"/>
          <w:color w:val="065A82"/>
          <w:sz w:val="11"/>
          <w:szCs w:val="11"/>
        </w:rPr>
        <w:t xml:space="preserve">C</w:t>
      </w:r>
    </w:p>
    <w:p>
      <w:pPr>
        <w:spacing w:before="60" w:after="6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Total: 4388 bp</w:t>
      </w:r>
    </w:p>
    <w:p>
      <w:pPr>
        <w:spacing w:before="60" w:after="60"/>
      </w:pPr>
    </w:p>
    <w:p>
      <w:pPr>
        <w:pStyle w:val="Heading2"/>
      </w:pPr>
      <w:r>
        <w:t xml:space="preserve">6. Workflow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Nucleofect Hi-Fi Cas9 RNP (gRNA1 + gRNA2) + linearized donor (1–2 µg) via Lonza 4D CA-137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Recover 48 h in mTeSR1 + 10 µM Y-27632 on Matrigel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Select with G418/Geneticin (200–400 µg/mL) for 7–10 days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Pick mCherry+ colonies (FACS or visual) — confirms KI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5. Screen by 5′ and 3′ junction PCR + Sanger sequencing (48–96 clones)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6. Cre-excise floxed PGK-NeoR cassette (transfect Cre recombinase)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7. Verify NeoR removal by PCR across loxP scar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8. Final QC: karyotype, pluripotency markers, off-target Sanger</w:t>
      </w:r>
    </w:p>
    <w:p>
      <w:pPr>
        <w:spacing w:before="60" w:after="60"/>
      </w:pPr>
    </w:p>
    <w:p>
      <w:pPr>
        <w:pStyle w:val="Heading2"/>
      </w:pPr>
      <w:r>
        <w:t xml:space="preserve">7. References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1. FOXO1 targeting vector (lab reference construct)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2. TP53BP1 HR template (Iris 62615/56153). SD40 source.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3. Ludwik KA et al. (2023) STAR Protocols 4(2):102315.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AG Gergardt • Narasimha Telugu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ECSIT SD40 KI Targeting Vector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2026-03-22T22:39:31.896Z</dcterms:created>
  <dcterms:modified xsi:type="dcterms:W3CDTF">2026-03-22T22:39:31.896Z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