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Group: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 Gergardt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Iris ID: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[to be assigned]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responsible: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Narasimha Telugu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Construct: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ECSIT C-terminal dTAG (FKBP12 F36V)-2×HA-P2A-mCherry KI Targeting Vector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Based on: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FOXO1 targeting vector architecture</w:t>
            </w:r>
          </w:p>
        </w:tc>
      </w:tr>
    </w:tbl>
    <w:p>
      <w:pPr>
        <w:spacing w:before="60" w:after="60"/>
      </w:pPr>
    </w:p>
    <w:p>
      <w:pPr>
        <w:pStyle w:val="Heading1"/>
      </w:pPr>
      <w:r>
        <w:t xml:space="preserve">ECSIT: dTAG (FKBP12 F36V) C-terminal KI Targeting Vector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C-terminal knock-in of dTAG (FKBP12 F36V)-2×HA-P2A-mCherry cassette at ECSIT, replacing the stop codon (TAG) with GCA (Ala) in Exon 8. Includes floxed PGK-NeoR selection cassette (removable by Cre) and mCherry fluorescent reporter (P2A-cleaved). Architecture identical to FOXO1 targeting vector.</w:t>
      </w:r>
    </w:p>
    <w:p>
      <w:pPr>
        <w:spacing w:before="60" w:after="60"/>
      </w:pPr>
    </w:p>
    <w:p>
      <w:pPr>
        <w:pStyle w:val="Heading2"/>
      </w:pPr>
      <w:r>
        <w:t xml:space="preserve">1. Gene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ECSIT (ENSG00000130159, NM_016581, CCDS6099)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Chr19:12,791,997–12,815,255 (+strand) | 8 exons | 431 aa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Stop codon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 in Exon 8 (genomic pos 23989–23991 in GenBank)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Tag position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C-terminal, stop codon → Ala (GCA)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dTAG (FKBP12 F36V) (321 bp) + 2×HA + P2A + mCherry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2. gRNA Sequences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Both gRNAs cut within 1–7 bp of the stop codon. Both target sites span the 5′HA/insert junction — KI intrinsically prevents re-cutting. Silent mutations in 5′HA provide extra safety.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700"/>
        <w:gridCol w:w="21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PAM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ECSIT_KI_gRNA1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GCGCCGGCTCAGACTAGCTC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TGG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−strand, cut −1 bp, GC=70%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ECSIT_KI_gRNA2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GGGCCAGAGCTAGTCTGAGC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CGG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+strand, cut +7 bp, GC=65%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3. Genotyping Primers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Genomic primers outside 750 bp HAs. Junction-specific primers use one genomic + one cassette-internal primer.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ECSIT_KI_Fw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GAGAGGAGCATGCCTTGAGTGGGG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50 bp outside 5′HA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ECSIT_KI_Rev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CGGCCCGGCTCCTGGGCGGGGTCC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50 bp outside 3′HA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5′ Jxn Rev (in tag)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CCAGGCTCAAATCTCGAGTGCATA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 dTAG (FKBP12 F36V)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3′ Jxn Fw (mCherry)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GACAACACCGAGGACGGCAGCGTG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 mCherry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4. Targeting Vector Architecture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Total size: 4601 bp (750 bp 5′HA + 3101 bp cassette + 750 bp 3′HA)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2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5′ Homology Arm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750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Exon 8 coding (pos 23239–23988, with silent muts S431S, Q430Q)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STOP → Ala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TAG replaced with GCA (Ala)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GS-rich flexible linker (from FOXO1 vector)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dTAG (FKBP12 F36V)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321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FKBP12 F36V degron — 500 nM dTAG-13 induces degradation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2×HA epitope tags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YPYDVPDYA × 2 (detection by anti-HA antibody)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Self-cleaving peptide (separates reporter from fusion protein)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mCherry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711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Fluorescent reporter (confirms KI, P2A-cleaved, independent)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LoxP1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 recombinase recognition site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PGK promoter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515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Drives NeoR expression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NeoR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801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Neomycin resistance (G418 selection: 200–400 µg/mL)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bGH polyA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303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Polyadenylation signal for NeoR transcript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LoxP2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 recombinase recognition site (pair with LoxP1)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3′ Homology Arm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750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3′UTR + downstream (pos 23992–24741)</w:t>
            </w:r>
          </w:p>
        </w:tc>
      </w:tr>
    </w:tbl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Silent mutations in 5′HA: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1. c.1293C&gt;T (AGC→AGT, p.S431S) at donor pos 750 — seed disruption both gRNAs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2. c.1290G&gt;A (CAG→CAA, p.Q430Q) at donor pos 747 — additional seed disruption</w:t>
      </w:r>
    </w:p>
    <w:p>
      <w:pPr>
        <w:spacing w:before="60" w:after="60"/>
      </w:pPr>
    </w:p>
    <w:p>
      <w:pPr>
        <w:pStyle w:val="Heading2"/>
      </w:pPr>
      <w:r>
        <w:t xml:space="preserve">5. Complete Donor Sequence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4601 bp total. Synthesize as gene fragment or clone into plasmid backbone.</w:t>
      </w:r>
    </w:p>
    <w:p>
      <w:pPr>
        <w:spacing w:before="60"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Color key:  </w:t>
      </w: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■ 5′HA  </w:t>
      </w:r>
      <w:r>
        <w:rPr>
          <w:rFonts w:ascii="Arial" w:cs="Arial" w:eastAsia="Arial" w:hAnsi="Arial"/>
          <w:b/>
          <w:bCs/>
          <w:color w:val="E74C3C"/>
          <w:sz w:val="16"/>
          <w:szCs w:val="16"/>
        </w:rPr>
        <w:t xml:space="preserve">■ dTAG  </w:t>
      </w:r>
      <w:r>
        <w:rPr>
          <w:rFonts w:ascii="Arial" w:cs="Arial" w:eastAsia="Arial" w:hAnsi="Arial"/>
          <w:b/>
          <w:bCs/>
          <w:color w:val="E67E22"/>
          <w:sz w:val="16"/>
          <w:szCs w:val="16"/>
        </w:rPr>
        <w:t xml:space="preserve">■ 2×HA  </w:t>
      </w: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■ P2A  </w:t>
      </w:r>
      <w:r>
        <w:rPr>
          <w:rFonts w:ascii="Arial" w:cs="Arial" w:eastAsia="Arial" w:hAnsi="Arial"/>
          <w:b/>
          <w:bCs/>
          <w:color w:val="C0392B"/>
          <w:sz w:val="16"/>
          <w:szCs w:val="16"/>
        </w:rPr>
        <w:t xml:space="preserve">■ mCherry  </w:t>
      </w:r>
      <w:r>
        <w:rPr>
          <w:rFonts w:ascii="Arial" w:cs="Arial" w:eastAsia="Arial" w:hAnsi="Arial"/>
          <w:b/>
          <w:bCs/>
          <w:color w:val="2980B9"/>
          <w:sz w:val="16"/>
          <w:szCs w:val="16"/>
        </w:rPr>
        <w:t xml:space="preserve">■ PGK  </w:t>
      </w:r>
      <w:r>
        <w:rPr>
          <w:rFonts w:ascii="Arial" w:cs="Arial" w:eastAsia="Arial" w:hAnsi="Arial"/>
          <w:b/>
          <w:bCs/>
          <w:color w:val="16A085"/>
          <w:sz w:val="16"/>
          <w:szCs w:val="16"/>
        </w:rPr>
        <w:t xml:space="preserve">■ NeoR  </w:t>
      </w:r>
      <w:r>
        <w:rPr>
          <w:rFonts w:ascii="Arial" w:cs="Arial" w:eastAsia="Arial" w:hAnsi="Arial"/>
          <w:b/>
          <w:bCs/>
          <w:color w:val="065A82"/>
          <w:sz w:val="16"/>
          <w:szCs w:val="16"/>
        </w:rPr>
        <w:t xml:space="preserve">■ bGHpA  </w:t>
      </w:r>
      <w:r>
        <w:rPr>
          <w:rFonts w:ascii="Arial" w:cs="Arial" w:eastAsia="Arial" w:hAnsi="Arial"/>
          <w:b/>
          <w:bCs/>
          <w:color w:val="F39C12"/>
          <w:sz w:val="16"/>
          <w:szCs w:val="16"/>
        </w:rPr>
        <w:t xml:space="preserve">■ LoxP  </w:t>
      </w:r>
      <w:r>
        <w:rPr>
          <w:rFonts w:ascii="Arial" w:cs="Arial" w:eastAsia="Arial" w:hAnsi="Arial"/>
          <w:b/>
          <w:bCs/>
          <w:color w:val="065A82"/>
          <w:sz w:val="16"/>
          <w:szCs w:val="16"/>
        </w:rPr>
        <w:t xml:space="preserve">■ 3′HA  </w:t>
      </w:r>
      <w:r>
        <w:rPr>
          <w:rFonts w:ascii="Arial" w:cs="Arial" w:eastAsia="Arial" w:hAnsi="Arial"/>
          <w:b/>
          <w:bCs/>
          <w:color w:val="CC0000"/>
          <w:sz w:val="16"/>
          <w:szCs w:val="16"/>
          <w:shd w:fill="FFFF00" w:val="clear"/>
        </w:rPr>
        <w:t xml:space="preserve">■ Silent mut</w:t>
      </w:r>
    </w:p>
    <w:p>
      <w:pPr>
        <w:spacing w:before="60" w:after="60"/>
      </w:pP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  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 81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161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241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321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401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481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561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641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721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/>
          <w:bCs/>
          <w:color w:val="CC0000"/>
          <w:sz w:val="11"/>
          <w:szCs w:val="11"/>
          <w:shd w:fill="FFFF00" w:val="clear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/>
          <w:bCs/>
          <w:color w:val="CC0000"/>
          <w:sz w:val="11"/>
          <w:szCs w:val="11"/>
          <w:shd w:fill="FFFF00" w:val="clear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801  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881  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961  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1041  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74C3C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1121  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1201  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1281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1361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1441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1521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1601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1681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1761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1841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1921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2001  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2081  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2161  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2241  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2321  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2401  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2481  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2561  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2641  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2721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2801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2881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2961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3041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3121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3201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3281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3361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3441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3521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3601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3681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3761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3841  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3921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4001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4081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4161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4241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4321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4401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4481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4561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Total: 4601 bp</w:t>
      </w:r>
    </w:p>
    <w:p>
      <w:pPr>
        <w:spacing w:before="60" w:after="60"/>
      </w:pPr>
    </w:p>
    <w:p>
      <w:pPr>
        <w:pStyle w:val="Heading2"/>
      </w:pPr>
      <w:r>
        <w:t xml:space="preserve">6. Workflow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1. Nucleofect Hi-Fi Cas9 RNP (gRNA1 + gRNA2) + linearized donor (1–2 µg) via Lonza 4D CA-137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Recover 48 h in mTeSR1 + 10 µM Y-27632 on Matrigel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Select with G418/Geneticin (200–400 µg/mL) for 7–10 days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4. Pick mCherry+ colonies (FACS or visual) — confirms KI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5. Screen by 5′ and 3′ junction PCR + Sanger sequencing (48–96 clones)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6. Cre-excise floxed PGK-NeoR cassette (transfect Cre recombinase)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7. Verify NeoR removal by PCR across loxP scar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8. Validate dTAG function: treat with 500 nM dTAG-13, confirm degradation by WB/IF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8. Final QC: karyotype, pluripotency markers, off-target Sanger</w:t>
      </w:r>
    </w:p>
    <w:p>
      <w:pPr>
        <w:spacing w:before="60" w:after="60"/>
      </w:pPr>
    </w:p>
    <w:p>
      <w:pPr>
        <w:pStyle w:val="Heading2"/>
      </w:pPr>
      <w:r>
        <w:t xml:space="preserve">7. References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1. FOXO1 targeting vector (lab reference construct)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2. Nabet B et al. (2018) Nat Chem Biol 14(5):431-41. dTAG system.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3. Ludwik KA et al. (2023) STAR Protocols 4(2):102315.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AG Gergardt • Narasimha Telugu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ECSIT dTAG (FKBP12 F36V) KI Targeting Vector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2026-03-22T22:39:31.296Z</dcterms:created>
  <dcterms:modified xsi:type="dcterms:W3CDTF">2026-03-22T22:39:31.300Z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