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Group: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 Gergardt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Iris ID: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[to be assigned]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Project responsible: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Narasimha Telugu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Construct: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OPTN C-terminal dTAG (FKBP12 F36V)-2×HA-P2A-mCherry KI Targeting Vector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Based on: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FOXO1 targeting vector architecture</w:t>
            </w:r>
          </w:p>
        </w:tc>
      </w:tr>
    </w:tbl>
    <w:p>
      <w:pPr>
        <w:spacing w:before="60" w:after="60"/>
      </w:pPr>
    </w:p>
    <w:p>
      <w:pPr>
        <w:pStyle w:val="Heading1"/>
      </w:pPr>
      <w:r>
        <w:t xml:space="preserve">OPTN: dTAG (FKBP12 F36V) C-terminal KI Targeting Vector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C-terminal knock-in of dTAG (FKBP12 F36V)-2×HA-P2A-mCherry cassette at OPTN, replacing the stop codon with GCA (Ala). Includes floxed PGK-NeoR selection cassette (removable by Cre recombinase). Architecture identical to FOXO1 targeting vector.</w:t>
      </w:r>
    </w:p>
    <w:p>
      <w:pPr>
        <w:spacing w:before="60" w:after="60"/>
      </w:pPr>
    </w:p>
    <w:p>
      <w:pPr>
        <w:pStyle w:val="Heading2"/>
      </w:pPr>
      <w:r>
        <w:t xml:space="preserve">1. Gene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Gene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OPTN (ENSG00000123240, Optineurin)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Chr10 (+strand) | 16 exons | 577 aa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Stop codon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TAA in Exon 16 (genomic pos 37416–37418)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Tag position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C-terminal, stop codon → Ala (GCA)</w:t>
            </w:r>
          </w:p>
        </w:tc>
      </w:tr>
    </w:tbl>
    <w:p>
      <w:pPr>
        <w:spacing w:before="60" w:after="60"/>
      </w:pPr>
    </w:p>
    <w:p>
      <w:pPr>
        <w:pStyle w:val="Heading2"/>
      </w:pPr>
      <w:r>
        <w:t xml:space="preserve">2. gRNA Sequences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700"/>
        <w:gridCol w:w="210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Sequence (5′→3′)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PAM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OPTN_KI_gRNA1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4"/>
                <w:szCs w:val="14"/>
              </w:rPr>
              <w:t xml:space="preserve">CACGTTACAGATTCACGTGA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TGG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+strand, cut −17 bp, GC=45%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OPTN_KI_gRNA2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4"/>
                <w:szCs w:val="14"/>
              </w:rPr>
              <w:t xml:space="preserve">ATTTACCAACAGTTTTGGGG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AGG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−strand, cut +23 bp, GC=40%</w:t>
            </w:r>
          </w:p>
        </w:tc>
      </w:tr>
    </w:tbl>
    <w:p>
      <w:pPr>
        <w:spacing w:before="60" w:after="60"/>
      </w:pPr>
    </w:p>
    <w:p>
      <w:pPr>
        <w:pStyle w:val="Heading2"/>
      </w:pPr>
      <w:r>
        <w:t xml:space="preserve">3. Genotyping Primers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560"/>
        <w:gridCol w:w="220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Sequence (5′→3′)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OPTN_KI_Fw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4"/>
                <w:szCs w:val="14"/>
              </w:rPr>
              <w:t xml:space="preserve">GAGATTTTTCTCTATGTGCATCGT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Outside 5′HA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OPTN_KI_Rev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4"/>
                <w:szCs w:val="14"/>
              </w:rPr>
              <w:t xml:space="preserve">CTGCGACTACAGGCATGCGCCACC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Outside 3′HA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5′ Jxn Rev (in tag)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4"/>
                <w:szCs w:val="14"/>
              </w:rPr>
              <w:t xml:space="preserve">CCAGGCTCAAATCTCGAGTGCATA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In dTAG (FKBP12 F36V)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3′ Jxn Fw (in mCherry)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4"/>
                <w:szCs w:val="14"/>
              </w:rPr>
              <w:t xml:space="preserve">GACAACACCGAGGACGGCAGCGTG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In mCherry</w:t>
            </w:r>
          </w:p>
        </w:tc>
      </w:tr>
    </w:tbl>
    <w:p>
      <w:pPr>
        <w:spacing w:before="60" w:after="60"/>
      </w:pPr>
    </w:p>
    <w:p>
      <w:pPr>
        <w:pStyle w:val="Heading2"/>
      </w:pPr>
      <w:r>
        <w:t xml:space="preserve">4. Targeting Vector Architecture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Total size: 4601 bp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61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5′ Homology Arm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750 bp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Exon 16 coding (with silent muts H571H, V572V)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STOP → Ala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bp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Original stop codon replaced with GCA (Ala)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Linker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bp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GS-rich flexible linker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dTAG (FKBP12 F36V)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321 bp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FKBP12 F36V degron domain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2×HA epitope tags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57 bp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HA-Tag1 + HA-Tag2 (YPYDVPDYA)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P2A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57 bp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Self-cleaving peptide (separate reporter from fusion)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mCherry reporter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711 bp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Fluorescent reporter (post-P2A cleavage)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LoxP1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34 bp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 recombinase recognition site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PGK promoter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515 bp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Drives NeoR expression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Neomycin resistance (NeoR)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801 bp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G418/Geneticin selection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bGH polyA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303 bp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Polyadenylation signal for NeoR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LoxP2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34 bp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 recombinase recognition site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3′ Homology Arm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750 bp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3′UTR of Exon 16</w:t>
            </w:r>
          </w:p>
        </w:tc>
      </w:tr>
    </w:tbl>
    <w:p>
      <w:pPr>
        <w:spacing w:before="60" w:after="60"/>
      </w:pP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Silent mutations in 5′HA (to prevent Cas9 re-cutting):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0"/>
          <w:szCs w:val="20"/>
        </w:rPr>
        <w:t xml:space="preserve">1. c.1724C&gt;T (CAC→CAT, p.H571H) — gRNA1 seed pos 15/20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0"/>
          <w:szCs w:val="20"/>
        </w:rPr>
        <w:t xml:space="preserve">2. c.1716G&gt;A (GTG→GTA, p.V572V) — gRNA1 seed pos 18/20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0"/>
          <w:szCs w:val="20"/>
        </w:rPr>
        <w:t xml:space="preserve">3. C→A at 3′HA pos 17 (3′UTR) — gRNA2 PAM block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0"/>
          <w:szCs w:val="20"/>
        </w:rPr>
        <w:t xml:space="preserve">4. A→G at 3′HA pos 23 (3′UTR) — gRNA2 seed block</w:t>
      </w:r>
    </w:p>
    <w:p>
      <w:pPr>
        <w:spacing w:before="60" w:after="60"/>
      </w:pPr>
    </w:p>
    <w:p>
      <w:pPr>
        <w:pStyle w:val="Heading2"/>
      </w:pPr>
      <w:r>
        <w:t xml:space="preserve">5. Complete Donor Sequence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4601 bp total. Color legend below. Sequence can be synthesized as a gene fragment or cloned into a plasmid backbone (e.g., pBluescript).</w:t>
      </w:r>
    </w:p>
    <w:p>
      <w:pPr>
        <w:spacing w:before="60" w:after="60"/>
      </w:pPr>
    </w:p>
    <w:p>
      <w:pPr>
        <w:spacing w:after="6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Color key:  </w:t>
      </w:r>
      <w:r>
        <w:rPr>
          <w:rFonts w:ascii="Arial" w:cs="Arial" w:eastAsia="Arial" w:hAnsi="Arial"/>
          <w:b/>
          <w:bCs/>
          <w:color w:val="2E75B6"/>
          <w:sz w:val="16"/>
          <w:szCs w:val="16"/>
        </w:rPr>
        <w:t xml:space="preserve">■ 5′HA  </w:t>
      </w:r>
      <w:r>
        <w:rPr>
          <w:rFonts w:ascii="Arial" w:cs="Arial" w:eastAsia="Arial" w:hAnsi="Arial"/>
          <w:b/>
          <w:bCs/>
          <w:color w:val="E74C3C"/>
          <w:sz w:val="16"/>
          <w:szCs w:val="16"/>
        </w:rPr>
        <w:t xml:space="preserve">■ dTAG  </w:t>
      </w:r>
      <w:r>
        <w:rPr>
          <w:rFonts w:ascii="Arial" w:cs="Arial" w:eastAsia="Arial" w:hAnsi="Arial"/>
          <w:b/>
          <w:bCs/>
          <w:color w:val="E67E22"/>
          <w:sz w:val="16"/>
          <w:szCs w:val="16"/>
        </w:rPr>
        <w:t xml:space="preserve">■ 2×HA  </w:t>
      </w:r>
      <w:r>
        <w:rPr>
          <w:rFonts w:ascii="Arial" w:cs="Arial" w:eastAsia="Arial" w:hAnsi="Arial"/>
          <w:b/>
          <w:bCs/>
          <w:color w:val="9B59B6"/>
          <w:sz w:val="16"/>
          <w:szCs w:val="16"/>
        </w:rPr>
        <w:t xml:space="preserve">■ P2A  </w:t>
      </w:r>
      <w:r>
        <w:rPr>
          <w:rFonts w:ascii="Arial" w:cs="Arial" w:eastAsia="Arial" w:hAnsi="Arial"/>
          <w:b/>
          <w:bCs/>
          <w:color w:val="C0392B"/>
          <w:sz w:val="16"/>
          <w:szCs w:val="16"/>
        </w:rPr>
        <w:t xml:space="preserve">■ mCherry  </w:t>
      </w:r>
      <w:r>
        <w:rPr>
          <w:rFonts w:ascii="Arial" w:cs="Arial" w:eastAsia="Arial" w:hAnsi="Arial"/>
          <w:b/>
          <w:bCs/>
          <w:color w:val="2E75B6"/>
          <w:sz w:val="16"/>
          <w:szCs w:val="16"/>
        </w:rPr>
        <w:t xml:space="preserve">■ PGK  </w:t>
      </w:r>
      <w:r>
        <w:rPr>
          <w:rFonts w:ascii="Arial" w:cs="Arial" w:eastAsia="Arial" w:hAnsi="Arial"/>
          <w:b/>
          <w:bCs/>
          <w:color w:val="16A085"/>
          <w:sz w:val="16"/>
          <w:szCs w:val="16"/>
        </w:rPr>
        <w:t xml:space="preserve">■ NeoR  </w:t>
      </w:r>
      <w:r>
        <w:rPr>
          <w:rFonts w:ascii="Arial" w:cs="Arial" w:eastAsia="Arial" w:hAnsi="Arial"/>
          <w:b/>
          <w:bCs/>
          <w:color w:val="F39C12"/>
          <w:sz w:val="16"/>
          <w:szCs w:val="16"/>
        </w:rPr>
        <w:t xml:space="preserve">■ LoxP  </w:t>
      </w:r>
      <w:r>
        <w:rPr>
          <w:rFonts w:ascii="Arial" w:cs="Arial" w:eastAsia="Arial" w:hAnsi="Arial"/>
          <w:b/>
          <w:bCs/>
          <w:color w:val="065A82"/>
          <w:sz w:val="16"/>
          <w:szCs w:val="16"/>
        </w:rPr>
        <w:t xml:space="preserve">■ 3′HA  </w:t>
      </w:r>
      <w:r>
        <w:rPr>
          <w:rFonts w:ascii="Arial" w:cs="Arial" w:eastAsia="Arial" w:hAnsi="Arial"/>
          <w:b/>
          <w:bCs/>
          <w:color w:val="CC0000"/>
          <w:sz w:val="16"/>
          <w:szCs w:val="16"/>
          <w:shd w:fill="FFFF00" w:val="clear"/>
        </w:rPr>
        <w:t xml:space="preserve">■ Silent mut</w:t>
      </w:r>
    </w:p>
    <w:p>
      <w:pPr>
        <w:spacing w:before="60" w:after="60"/>
      </w:pP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   1  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  81  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 161  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 241  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 321  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 401  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 481  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 561  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 641  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 721  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/>
          <w:bCs/>
          <w:color w:val="CC0000"/>
          <w:sz w:val="11"/>
          <w:szCs w:val="11"/>
          <w:shd w:fill="FFFF00" w:val="clear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/>
          <w:bCs/>
          <w:color w:val="CC0000"/>
          <w:sz w:val="11"/>
          <w:szCs w:val="11"/>
          <w:shd w:fill="FFFF00" w:val="clear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 801  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 881  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 961  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1041  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G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1121  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A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1201  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1281  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1361  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1441  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1521  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1601  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1681  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1761  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1841  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1921  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2001  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2081  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2161  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2241  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2321  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2401  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2481  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2561  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2641  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2721  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2801  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2881  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2961  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3041  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3121  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3201  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3281  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3361  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3441  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3521  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3601  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3681  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3761  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3841  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/>
          <w:bCs/>
          <w:color w:val="CC0000"/>
          <w:sz w:val="11"/>
          <w:szCs w:val="11"/>
          <w:shd w:fill="FFFF00" w:val="clear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/>
          <w:bCs/>
          <w:color w:val="CC0000"/>
          <w:sz w:val="11"/>
          <w:szCs w:val="11"/>
          <w:shd w:fill="FFFF00" w:val="clear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3921  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4001  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4081  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4161  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4241  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4321  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4401  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4481  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4561  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</w:p>
    <w:p>
      <w:pPr>
        <w:spacing w:before="60" w:after="60"/>
      </w:pPr>
    </w:p>
    <w:p>
      <w:pPr>
        <w:spacing w:after="8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Total: 4601 bp</w:t>
      </w:r>
    </w:p>
    <w:p>
      <w:pPr>
        <w:spacing w:before="60" w:after="60"/>
      </w:pPr>
    </w:p>
    <w:p>
      <w:pPr>
        <w:pStyle w:val="Heading2"/>
      </w:pPr>
      <w:r>
        <w:t xml:space="preserve">6. Additional Info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Nuclease: Hi-Fi Cas9 (IDT) | gRNA: Alt-R crRNA:tracrRNA | Lonza 4D CA-137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Donor delivery: Linearized plasmid or long dsDNA (1–2 µg per nucleofection)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Selection: G418/Geneticin (200–400 µg/mL) for 7–10 days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Cre excision: Transfect Cre recombinase to remove floxed PGK-NeoR cassette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Reporter: mCherry fluorescence confirms successful KI (P2A-cleaved)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dTAG control: 500 nM dTAG-13 induces rapid degradation of fusion protein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Screen 48–96 clones. Verify by 5′ and 3′ junction PCR + Sanger sequencing.</w:t>
      </w:r>
    </w:p>
    <w:p>
      <w:pPr>
        <w:spacing w:before="60" w:after="60"/>
      </w:pPr>
    </w:p>
    <w:p>
      <w:pPr>
        <w:pStyle w:val="Heading2"/>
      </w:pPr>
      <w:r>
        <w:t xml:space="preserve">7. References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1. FOXO1 targeting vector (lab reference construct)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2. Nabet B et al. (2018) Nat Chem Biol 14(5):431-41. dTAG system.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3. Ludwik KA et al. (2023) STAR Protocols 4(2):102315.</w:t>
      </w:r>
    </w:p>
    <w:sectPr>
      <w:headerReference w:type="default" r:id="rId6"/>
      <w:footerReference w:type="default" r:id="rId7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AG Gergardt • Narasimha Telugu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OPTN dTAG (FKBP12 F36V) KI Targeting Vector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2026-03-22T22:04:50.675Z</dcterms:created>
  <dcterms:modified xsi:type="dcterms:W3CDTF">2026-03-22T22:04:50.675Z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