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00B2B2"/>
          <w:sz w:val="48"/>
          <w:szCs w:val="48"/>
        </w:rPr>
        <w:t xml:space="preserve">EVALDAM AI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0F172A"/>
          <w:sz w:val="18"/>
          <w:szCs w:val="18"/>
        </w:rPr>
        <w:t xml:space="preserve">Defensible Startup Valuations. Investor-Ready Reports. Built for Scale.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June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00B2B2" w:sz="12"/>
              <w:left w:val="single" w:color="00B2B2" w:sz="12"/>
              <w:bottom w:val="single" w:color="00B2B2" w:sz="12"/>
              <w:right w:val="single" w:color="00B2B2" w:sz="12"/>
            </w:tcBorders>
            <w:shd w:fill="F0FD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80"/>
                <w:sz w:val="14"/>
                <w:szCs w:val="14"/>
              </w:rPr>
              <w:t xml:space="preserve">One-Liner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Evaldam AI gives founders and investors defensible, methodology-backed startup valuations with full assumptions, comparables, and investor-ready reports in minutes — not weeks or spreadsheets.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Executive Summary</w:t>
      </w:r>
    </w:p>
    <w:p>
      <w:pPr>
        <w:spacing w:after="140"/>
      </w:pPr>
      <w:r>
        <w:rPr>
          <w:rFonts w:ascii="Arial" w:cs="Arial" w:eastAsia="Arial" w:hAnsi="Arial"/>
          <w:color w:val="0F172A"/>
          <w:sz w:val="17"/>
          <w:szCs w:val="17"/>
        </w:rPr>
        <w:t xml:space="preserve">Evaldam AI is a capital-efficient vertical SaaS platform that replaces expensive consultants and fragile spreadsheets with professional-grade, auditable startup valuations. Our deterministic 6-method engine delivers 95%+ gross margins and 8–25× LTV:CAC while solving a painful, recurring problem for founders raising capital and advisors managing portfolios.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8080"/>
          <w:sz w:val="17"/>
          <w:szCs w:val="17"/>
        </w:rPr>
        <w:t xml:space="preserve">Key Highlights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95%+ Gross Margins — Core valuation engine is mostly deterministic (near-zero marginal cost)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LTV:CAC of 8–15× (Startup) and 25×+ (Agency) with $15–60 organic CAC via free valuation funnel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Strong India wedge + global applicability — already optimized for the fastest-growing early-stage market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16"/>
          <w:szCs w:val="16"/>
        </w:rPr>
        <w:t xml:space="preserve">Multiple high-margin revenue streams: SaaS subscriptions + API credits (85–95% margin)</w:t>
      </w:r>
    </w:p>
    <w:p>
      <w:pPr>
        <w:pStyle w:val="Heading1"/>
      </w:pPr>
      <w:r>
        <w:t xml:space="preserve">The Problem</w:t>
      </w:r>
    </w:p>
    <w:p>
      <w:pPr>
        <w:spacing w:after="100"/>
      </w:pPr>
      <w:r>
        <w:rPr>
          <w:rFonts w:ascii="Arial" w:cs="Arial" w:eastAsia="Arial" w:hAnsi="Arial"/>
          <w:color w:val="0F172A"/>
          <w:sz w:val="17"/>
          <w:szCs w:val="17"/>
        </w:rPr>
        <w:t xml:space="preserve">Founders walk into investor conversations with gut-feel numbers or $5k–25k consultant reports that take weeks. Advisors and micro-VCs waste hours rebuilding spreadsheets for every startup. Existing tools (AngelList, Crunchbase, generic calculators) are either black-box, lack methodology depth, or have almost no India-specific data.</w:t>
      </w:r>
    </w:p>
    <w:p>
      <w:pPr>
        <w:pStyle w:val="Heading1"/>
      </w:pPr>
      <w:r>
        <w:t xml:space="preserve">Our Solution</w:t>
      </w:r>
    </w:p>
    <w:p>
      <w:pPr>
        <w:spacing w:after="80"/>
      </w:pPr>
      <w:r>
        <w:rPr>
          <w:rFonts w:ascii="Arial" w:cs="Arial" w:eastAsia="Arial" w:hAnsi="Arial"/>
          <w:color w:val="0F172A"/>
          <w:sz w:val="17"/>
          <w:szCs w:val="17"/>
        </w:rPr>
        <w:t xml:space="preserve">Evaldam runs six professional valuation methods in parallel (Scorecard, Berkus, VC Method, DCF LTG, DCF Exit Multiples + proprietary Evaldam Score), blends them with stage-adjusted weights, and instantly produces a complete, evidence-backed package: low/mid/high range, full assumptions trail, sensitivity analysis, live comparables, and clean investor PDF.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008080"/>
          <w:sz w:val="17"/>
          <w:szCs w:val="17"/>
        </w:rPr>
        <w:t xml:space="preserve">Key Differentiators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6-method professional blend + proprietary Evaldam Score (not black-box 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India-optimized from day one (RBI rates, local comparables, INR pricing, Indian benchmarks)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Complete evidence trail and confidence scoring on every input — fully auditable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Minutes, not weeks — and 50–100× cheaper than traditional consultants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16"/>
          <w:szCs w:val="16"/>
        </w:rPr>
        <w:t xml:space="preserve">Developer API for platforms (fintechs, cap tables, accelerators) — high-margin embedded revenue</w:t>
      </w:r>
    </w:p>
    <w:p>
      <w:pPr>
        <w:pStyle w:val="Heading1"/>
      </w:pPr>
      <w:r>
        <w:t xml:space="preserve">Market Opportunity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tcBorders>
              <w:top w:val="single" w:color="00B2B2" w:sz="1"/>
              <w:left w:val="single" w:color="00B2B2" w:sz="1"/>
              <w:bottom w:val="single" w:color="00B2B2" w:sz="1"/>
              <w:right w:val="single" w:color="00B2B2" w:sz="1"/>
            </w:tcBorders>
            <w:shd w:fill="00B2B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8600"/>
            <w:tcBorders>
              <w:top w:val="single" w:color="00B2B2" w:sz="1"/>
              <w:left w:val="single" w:color="00B2B2" w:sz="1"/>
              <w:bottom w:val="single" w:color="00B2B2" w:sz="1"/>
              <w:right w:val="single" w:color="00B2B2" w:sz="1"/>
            </w:tcBorders>
            <w:shd w:fill="00B2B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&amp; 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TAM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~$8–12B — Global early-stage valuation, diligence tools &amp; financial modeling software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SAM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~$1.8–2.5B — Founders + advisors needing credible pre-money/seed/Series A valuations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SOM (5yr)</w:t>
            </w:r>
          </w:p>
        </w:tc>
        <w:tc>
          <w:tcPr>
            <w:tcW w:type="dxa" w:w="8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$180–350M — India + emerging markets + English-speaking early-stage segment (conservative)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0F172A"/>
          <w:sz w:val="16"/>
          <w:szCs w:val="16"/>
        </w:rPr>
        <w:t xml:space="preserve">Why India is our wedge: </w:t>
      </w:r>
      <w:r>
        <w:rPr>
          <w:rFonts w:ascii="Arial" w:cs="Arial" w:eastAsia="Arial" w:hAnsi="Arial"/>
          <w:color w:val="0F172A"/>
          <w:sz w:val="16"/>
          <w:szCs w:val="16"/>
        </w:rPr>
        <w:t xml:space="preserve">One of the highest densities of early-stage startups globally + strong cultural need for credible numbers before talking to angels/family offices. Existing players are weak on India-specific data. We already own the data advantage and INR pricing.</w:t>
      </w:r>
    </w:p>
    <w:p>
      <w:pPr>
        <w:pStyle w:val="Heading1"/>
      </w:pPr>
      <w:r>
        <w:t xml:space="preserve">Business Model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2800"/>
      </w:tblGrid>
      <w:tr>
        <w:tc>
          <w:tcPr>
            <w:tcW w:type="dxa" w:w="2400"/>
            <w:tcBorders>
              <w:top w:val="single" w:color="00B2B2" w:sz="1"/>
              <w:left w:val="single" w:color="00B2B2" w:sz="1"/>
              <w:bottom w:val="single" w:color="00B2B2" w:sz="1"/>
              <w:right w:val="single" w:color="00B2B2" w:sz="1"/>
            </w:tcBorders>
            <w:shd w:fill="00B2B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00B2B2" w:sz="1"/>
              <w:left w:val="single" w:color="00B2B2" w:sz="1"/>
              <w:bottom w:val="single" w:color="00B2B2" w:sz="1"/>
              <w:right w:val="single" w:color="00B2B2" w:sz="1"/>
            </w:tcBorders>
            <w:shd w:fill="00B2B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(USD)</w:t>
            </w:r>
          </w:p>
        </w:tc>
        <w:tc>
          <w:tcPr>
            <w:tcW w:type="dxa" w:w="2800"/>
            <w:tcBorders>
              <w:top w:val="single" w:color="00B2B2" w:sz="1"/>
              <w:left w:val="single" w:color="00B2B2" w:sz="1"/>
              <w:bottom w:val="single" w:color="00B2B2" w:sz="1"/>
              <w:right w:val="single" w:color="00B2B2" w:sz="1"/>
            </w:tcBorders>
            <w:shd w:fill="00B2B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Customer</w:t>
            </w:r>
          </w:p>
        </w:tc>
        <w:tc>
          <w:tcPr>
            <w:tcW w:type="dxa" w:w="2800"/>
            <w:tcBorders>
              <w:top w:val="single" w:color="00B2B2" w:sz="1"/>
              <w:left w:val="single" w:color="00B2B2" w:sz="1"/>
              <w:bottom w:val="single" w:color="00B2B2" w:sz="1"/>
              <w:right w:val="single" w:color="00B2B2" w:sz="1"/>
            </w:tcBorders>
            <w:shd w:fill="00B2B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Limits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Free (Funnel)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$0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Early explorers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5 previews + 3 watermarked PDFs/mo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Startup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$44/mo or $475/yr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Individual founders raising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startup, unlimited previews, full reports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Agency / Investor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$250/mo or $2,700/yr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Advisors, micro-VCs, incubators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10 startups, 5 team seats, portfolio dashboard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Enterprise + API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Custom + Credit top-ups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Platforms &amp; large funds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Unlimited + embedded valuation intelligence</w:t>
            </w:r>
          </w:p>
        </w:tc>
      </w:tr>
    </w:tbl>
    <w:p>
      <w:pPr>
        <w:spacing w:before="140"/>
      </w:pPr>
      <w:r>
        <w:rPr>
          <w:rFonts w:ascii="Arial" w:cs="Arial" w:eastAsia="Arial" w:hAnsi="Arial"/>
          <w:b/>
          <w:bCs/>
          <w:color w:val="0F172A"/>
          <w:sz w:val="16"/>
          <w:szCs w:val="16"/>
        </w:rPr>
        <w:t xml:space="preserve">Three revenue engines: </w:t>
      </w:r>
      <w:r>
        <w:rPr>
          <w:rFonts w:ascii="Arial" w:cs="Arial" w:eastAsia="Arial" w:hAnsi="Arial"/>
          <w:color w:val="0F172A"/>
          <w:sz w:val="16"/>
          <w:szCs w:val="16"/>
        </w:rPr>
        <w:t xml:space="preserve">Recurring SaaS (55–65%), Agency plans (20–30%), and high-margin Developer API credits (10–20%, 85–95% gross margin).</w:t>
      </w:r>
    </w:p>
    <w:p>
      <w:pPr>
        <w:pStyle w:val="Heading1"/>
      </w:pPr>
      <w:r>
        <w:t xml:space="preserve">Unit Economics (Our Superpower)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0"/>
      </w:tblGrid>
      <w:tr>
        <w:tc>
          <w:tcPr>
            <w:tcW w:type="dxa" w:w="3800"/>
            <w:tcBorders>
              <w:top w:val="single" w:color="00B2B2" w:sz="1"/>
              <w:left w:val="single" w:color="00B2B2" w:sz="1"/>
              <w:bottom w:val="single" w:color="00B2B2" w:sz="1"/>
              <w:right w:val="single" w:color="00B2B2" w:sz="1"/>
            </w:tcBorders>
            <w:shd w:fill="00B2B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7000"/>
            <w:tcBorders>
              <w:top w:val="single" w:color="00B2B2" w:sz="1"/>
              <w:left w:val="single" w:color="00B2B2" w:sz="1"/>
              <w:bottom w:val="single" w:color="00B2B2" w:sz="1"/>
              <w:right w:val="single" w:color="00B2B2" w:sz="1"/>
            </w:tcBorders>
            <w:shd w:fill="00B2B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92–97% (deterministic core + Groq = near-zero marginal cost per valuation)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CAC (organic)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$15–60 via free valuation → paid conversion funnel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LTV — Startup Plan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$280–520 (8–14 month retention @ $44/mo)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LTV — Agency Plan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$1,800–3,600 (much stickier, higher ACV)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LTV:CAC (Startup)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8–15×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LTV:CAC (Agency)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25×+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Payback Period</w:t>
            </w:r>
          </w:p>
        </w:tc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1–3 months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i/>
          <w:iCs/>
          <w:color w:val="0F172A"/>
          <w:sz w:val="16"/>
          <w:szCs w:val="16"/>
        </w:rPr>
        <w:t xml:space="preserve">These economics are best-in-class for vertical SaaS. The deterministic engine is the fundamental advantage — most competitors are pure LLM and carry 30–60%+ variable costs.</w:t>
      </w:r>
    </w:p>
    <w:p>
      <w:pPr>
        <w:pStyle w:val="Heading1"/>
      </w:pPr>
      <w:r>
        <w:t xml:space="preserve">Defensible Moat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Data moat: Deep India-specific valuation benchmarks and comparables that are hard to replicate quickly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Methodology moat: 6-method deterministic engine + full evidence trail (investors demand auditability)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6"/>
          <w:szCs w:val="16"/>
        </w:rPr>
        <w:t xml:space="preserve">Cost moat: 10–50× lower marginal cost than pure-LLM competitors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16"/>
          <w:szCs w:val="16"/>
        </w:rPr>
        <w:t xml:space="preserve">Switching costs: Once teams build workflows around reports and evidence, migration is painful</w:t>
      </w:r>
    </w:p>
    <w:p>
      <w:pPr>
        <w:pStyle w:val="Heading1"/>
      </w:pPr>
      <w:r>
        <w:t xml:space="preserve">Go-to-Market &amp; Growth Levers (Prioritized)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6"/>
          <w:szCs w:val="16"/>
        </w:rPr>
        <w:t xml:space="preserve">Free valuation → paid conversion optimization (highest-leverage near-term move)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6"/>
          <w:szCs w:val="16"/>
        </w:rPr>
        <w:t xml:space="preserve">India-first content + SEO (massive untapped demand)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6"/>
          <w:szCs w:val="16"/>
        </w:rPr>
        <w:t xml:space="preserve">Developer API distribution partnerships (high margin, low support cost)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6"/>
          <w:szCs w:val="16"/>
        </w:rPr>
        <w:t xml:space="preserve">Agency / accelerator / incubator partnerships for volume and credibility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16"/>
          <w:szCs w:val="16"/>
        </w:rPr>
        <w:t xml:space="preserve">Enterprise portfolio deals (high ACV, long-term contracts)</w:t>
      </w:r>
    </w:p>
    <w:p>
      <w:pPr>
        <w:pStyle w:val="Heading1"/>
      </w:pPr>
      <w:r>
        <w:t xml:space="preserve">Investment Thesis</w:t>
      </w:r>
    </w:p>
    <w:p>
      <w:pPr>
        <w:spacing w:after="160"/>
      </w:pPr>
      <w:r>
        <w:rPr>
          <w:rFonts w:ascii="Arial" w:cs="Arial" w:eastAsia="Arial" w:hAnsi="Arial"/>
          <w:color w:val="0F172A"/>
          <w:sz w:val="17"/>
          <w:szCs w:val="17"/>
        </w:rPr>
        <w:t xml:space="preserve">Evaldam AI combines the unit economics of a high-margin infrastructure business with the defensibility of a vertical data + methodology moat. We are solving a painful, recurring, high-willingness-to-pay problem in one of the fastest-growing startup ecosystems in the world. The product is already built, the economics are proven in the architecture, and the go-to-market is capital-efficient. This is a rare opportunity to own the professional standard for early-stage valuation infrastructure.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008080"/>
          <w:sz w:val="18"/>
          <w:szCs w:val="18"/>
        </w:rPr>
        <w:t xml:space="preserve">Next Steps</w:t>
      </w:r>
    </w:p>
    <w:p>
      <w:pPr>
        <w:spacing w:before="80"/>
        <w:jc w:val="center"/>
      </w:pPr>
      <w:r>
        <w:rPr>
          <w:rFonts w:ascii="Arial" w:cs="Arial" w:eastAsia="Arial" w:hAnsi="Arial"/>
          <w:color w:val="0F172A"/>
          <w:sz w:val="16"/>
          <w:szCs w:val="16"/>
        </w:rPr>
        <w:t xml:space="preserve">We are open to strategic conversations with investors who understand vertical SaaS, India, and developer platforms.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00B2B2"/>
          <w:sz w:val="16"/>
          <w:szCs w:val="16"/>
        </w:rPr>
        <w:t xml:space="preserve">Contact: founders@equidamai.com  |  equiDam.ai</w:t>
      </w:r>
    </w:p>
    <w:p>
      <w:pPr>
        <w:spacing w:before="320"/>
        <w:jc w:val="center"/>
      </w:pPr>
      <w:r>
        <w:rPr>
          <w:rFonts w:ascii="Arial" w:cs="Arial" w:eastAsia="Arial" w:hAnsi="Arial"/>
          <w:i/>
          <w:iCs/>
          <w:color w:val="475569"/>
          <w:sz w:val="14"/>
          <w:szCs w:val="14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4"/>
        <w:szCs w:val="14"/>
      </w:rPr>
      <w:t xml:space="preserve">Confidential  •  Page </w:t>
    </w:r>
    <w:r>
      <w:rPr>
        <w:rFonts w:ascii="Arial" w:cs="Arial" w:eastAsia="Arial" w:hAnsi="Arial"/>
        <w:color w:val="47556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4"/>
        <w:szCs w:val="14"/>
      </w:rPr>
      <w:t xml:space="preserve">  •  equiDam.ai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00B2B2"/>
        <w:sz w:val="16"/>
        <w:szCs w:val="16"/>
      </w:rPr>
      <w:t xml:space="preserve">EVALDAM AI</w:t>
    </w:r>
    <w:r>
      <w:rPr>
        <w:rFonts w:ascii="Arial" w:cs="Arial" w:eastAsia="Arial" w:hAnsi="Arial"/>
        <w:color w:val="475569"/>
        <w:sz w:val="15"/>
        <w:szCs w:val="15"/>
      </w:rPr>
      <w:t xml:space="preserve">   |   Investor Strategic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080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2026-06-01T15:31:06.351Z</dcterms:created>
  <dcterms:modified xsi:type="dcterms:W3CDTF">2026-06-01T15:31:06.351Z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