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B6CB0"/>
          <w:sz w:val="26"/>
        </w:rPr>
        <w:t>DEPARTMENT OF MECHANICAL ENGINEERING</w:t>
        <w:br/>
        <w:t>ABES ENGINEERING COLLEGE / AKTU, LUCKNOW</w:t>
        <w:br/>
      </w:r>
    </w:p>
    <w:p>
      <w:pPr>
        <w:spacing w:before="600"/>
      </w:pPr>
    </w:p>
    <w:p>
      <w:pPr>
        <w:jc w:val="center"/>
      </w:pPr>
      <w:r>
        <w:rPr>
          <w:b/>
          <w:color w:val="1A202C"/>
          <w:sz w:val="36"/>
        </w:rPr>
        <w:t>SOFTWARE REQUIREMENTS SPECIFICATION (SRS)</w:t>
        <w:br/>
      </w:r>
      <w:r>
        <w:rPr>
          <w:b/>
          <w:color w:val="3182CE"/>
          <w:sz w:val="32"/>
        </w:rPr>
        <w:t>Knowledge-Driven IoT Fault Diagnosis Assistant:</w:t>
        <w:br/>
        <w:t>AI-Driven Digital Twin for Smart Factory Operations</w:t>
        <w:br/>
      </w:r>
      <w:r>
        <w:rPr>
          <w:i/>
          <w:color w:val="718096"/>
          <w:sz w:val="22"/>
        </w:rPr>
        <w:t>Standard Academic Compliance: IEEE Std 830-1998</w:t>
        <w:br/>
      </w:r>
    </w:p>
    <w:p>
      <w:pPr>
        <w:spacing w:after="800"/>
        <w:jc w:val="center"/>
      </w:pPr>
      <w:r>
        <w:rPr>
          <w:color w:val="CBD5E1"/>
        </w:rPr>
        <w:t>—————————————————————————————————————————————</w:t>
      </w:r>
    </w:p>
    <w:p>
      <w:pPr>
        <w:spacing w:line="312" w:lineRule="auto"/>
      </w:pPr>
      <w:r>
        <w:rPr>
          <w:b/>
          <w:color w:val="2B6CB0"/>
          <w:sz w:val="22"/>
        </w:rPr>
        <w:t>SUBMITTED BY:</w:t>
        <w:br/>
      </w:r>
      <w:r>
        <w:t xml:space="preserve">Candidate: </w:t>
      </w:r>
      <w:r>
        <w:rPr>
          <w:b/>
        </w:rPr>
        <w:t>Nishchay Arora</w:t>
        <w:br/>
      </w:r>
      <w:r>
        <w:t xml:space="preserve">University Roll No: </w:t>
      </w:r>
      <w:r>
        <w:rPr>
          <w:b/>
        </w:rPr>
        <w:t>2400320400036</w:t>
        <w:br/>
      </w:r>
      <w:r>
        <w:t>Degree: Bachelor of Technology (B.Tech) in Mechanical Engineering</w:t>
        <w:br/>
      </w:r>
      <w:r>
        <w:t>Academic Year: 2026 – 2027</w:t>
        <w:br/>
        <w:br/>
      </w:r>
      <w:r>
        <w:rPr>
          <w:b/>
          <w:color w:val="2B6CB0"/>
          <w:sz w:val="22"/>
        </w:rPr>
        <w:t>UNDER THE GUIDANCE OF:</w:t>
        <w:br/>
      </w:r>
      <w:r>
        <w:t xml:space="preserve">Supervisor: </w:t>
      </w:r>
      <w:r>
        <w:rPr>
          <w:b/>
        </w:rPr>
        <w:t>Prof. / Dr. Tanvi Saxena</w:t>
        <w:br/>
      </w:r>
      <w:r>
        <w:t>Department: Department of Mechanical Engineering</w:t>
        <w:br/>
      </w:r>
      <w:r>
        <w:t>Status: 3rd Year Mid-Term Project Specification</w:t>
        <w:br/>
      </w:r>
      <w:r>
        <w:t>Date of Submission: 30-September-2026</w:t>
        <w:br/>
      </w:r>
    </w:p>
    <w:p>
      <w:r>
        <w:br w:type="page"/>
      </w:r>
    </w:p>
    <w:p>
      <w:pPr>
        <w:pStyle w:val="Heading2"/>
      </w:pPr>
      <w:r>
        <w:t>Document Revision &amp; Approval History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2B6CB0"/>
            <w:tcMar>
              <w:top w:w="120" w:type="dxa"/>
              <w:bottom w:w="120" w:type="dxa"/>
              <w:left w:w="140" w:type="dxa"/>
              <w:right w:w="140" w:type="dxa"/>
            </w:tcMar>
            <w:vAlign w:val="center"/>
          </w:tcPr>
          <w:p>
            <w:pPr>
              <w:jc w:val="center"/>
            </w:pPr>
            <w:r>
              <w:rPr>
                <w:b/>
                <w:color w:val="FFFFFF"/>
                <w:sz w:val="19"/>
              </w:rPr>
              <w:t>Version</w:t>
            </w:r>
          </w:p>
        </w:tc>
        <w:tc>
          <w:tcPr>
            <w:tcW w:type="dxa" w:w="1584"/>
            <w:shd w:val="clear" w:color="auto" w:fill="2B6CB0"/>
            <w:tcMar>
              <w:top w:w="120" w:type="dxa"/>
              <w:bottom w:w="120" w:type="dxa"/>
              <w:left w:w="140" w:type="dxa"/>
              <w:right w:w="140" w:type="dxa"/>
            </w:tcMar>
            <w:vAlign w:val="center"/>
          </w:tcPr>
          <w:p>
            <w:pPr>
              <w:jc w:val="center"/>
            </w:pPr>
            <w:r>
              <w:rPr>
                <w:b/>
                <w:color w:val="FFFFFF"/>
                <w:sz w:val="19"/>
              </w:rPr>
              <w:t>Date</w:t>
            </w:r>
          </w:p>
        </w:tc>
        <w:tc>
          <w:tcPr>
            <w:tcW w:type="dxa" w:w="3888"/>
            <w:shd w:val="clear" w:color="auto" w:fill="2B6CB0"/>
            <w:tcMar>
              <w:top w:w="120" w:type="dxa"/>
              <w:bottom w:w="120" w:type="dxa"/>
              <w:left w:w="140" w:type="dxa"/>
              <w:right w:w="140" w:type="dxa"/>
            </w:tcMar>
            <w:vAlign w:val="center"/>
          </w:tcPr>
          <w:p>
            <w:pPr>
              <w:jc w:val="center"/>
            </w:pPr>
            <w:r>
              <w:rPr>
                <w:b/>
                <w:color w:val="FFFFFF"/>
                <w:sz w:val="19"/>
              </w:rPr>
              <w:t>Description / Major Changes</w:t>
            </w:r>
          </w:p>
        </w:tc>
        <w:tc>
          <w:tcPr>
            <w:tcW w:type="dxa" w:w="1584"/>
            <w:shd w:val="clear" w:color="auto" w:fill="2B6CB0"/>
            <w:tcMar>
              <w:top w:w="120" w:type="dxa"/>
              <w:bottom w:w="120" w:type="dxa"/>
              <w:left w:w="140" w:type="dxa"/>
              <w:right w:w="140" w:type="dxa"/>
            </w:tcMar>
            <w:vAlign w:val="center"/>
          </w:tcPr>
          <w:p>
            <w:pPr>
              <w:jc w:val="center"/>
            </w:pPr>
            <w:r>
              <w:rPr>
                <w:b/>
                <w:color w:val="FFFFFF"/>
                <w:sz w:val="19"/>
              </w:rPr>
              <w:t>Prepared By</w:t>
            </w:r>
          </w:p>
        </w:tc>
        <w:tc>
          <w:tcPr>
            <w:tcW w:type="dxa" w:w="1872"/>
            <w:shd w:val="clear" w:color="auto" w:fill="2B6CB0"/>
            <w:tcMar>
              <w:top w:w="120" w:type="dxa"/>
              <w:bottom w:w="120" w:type="dxa"/>
              <w:left w:w="140" w:type="dxa"/>
              <w:right w:w="140" w:type="dxa"/>
            </w:tcMar>
            <w:vAlign w:val="center"/>
          </w:tcPr>
          <w:p>
            <w:pPr>
              <w:jc w:val="center"/>
            </w:pPr>
            <w:r>
              <w:rPr>
                <w:b/>
                <w:color w:val="FFFFFF"/>
                <w:sz w:val="19"/>
              </w:rPr>
              <w:t>Reviewed By</w:t>
            </w:r>
          </w:p>
        </w:tc>
      </w:tr>
      <w:tr>
        <w:tc>
          <w:tcPr>
            <w:tcW w:type="dxa" w:w="1152"/>
            <w:shd w:val="clear" w:color="auto" w:fill="F7FAFC"/>
            <w:tcMar>
              <w:top w:w="120" w:type="dxa"/>
              <w:bottom w:w="120" w:type="dxa"/>
              <w:left w:w="140" w:type="dxa"/>
              <w:right w:w="140" w:type="dxa"/>
            </w:tcMar>
            <w:vAlign w:val="center"/>
          </w:tcPr>
          <w:p>
            <w:r>
              <w:rPr>
                <w:color w:val="2D3748"/>
                <w:sz w:val="18"/>
              </w:rPr>
              <w:t>0.1</w:t>
            </w:r>
          </w:p>
        </w:tc>
        <w:tc>
          <w:tcPr>
            <w:tcW w:type="dxa" w:w="1584"/>
            <w:shd w:val="clear" w:color="auto" w:fill="F7FAFC"/>
            <w:tcMar>
              <w:top w:w="120" w:type="dxa"/>
              <w:bottom w:w="120" w:type="dxa"/>
              <w:left w:w="140" w:type="dxa"/>
              <w:right w:w="140" w:type="dxa"/>
            </w:tcMar>
            <w:vAlign w:val="center"/>
          </w:tcPr>
          <w:p>
            <w:r>
              <w:rPr>
                <w:color w:val="2D3748"/>
                <w:sz w:val="18"/>
              </w:rPr>
              <w:t>15-Sep-2026</w:t>
            </w:r>
          </w:p>
        </w:tc>
        <w:tc>
          <w:tcPr>
            <w:tcW w:type="dxa" w:w="3888"/>
            <w:shd w:val="clear" w:color="auto" w:fill="F7FAFC"/>
            <w:tcMar>
              <w:top w:w="120" w:type="dxa"/>
              <w:bottom w:w="120" w:type="dxa"/>
              <w:left w:w="140" w:type="dxa"/>
              <w:right w:w="140" w:type="dxa"/>
            </w:tcMar>
            <w:vAlign w:val="center"/>
          </w:tcPr>
          <w:p>
            <w:r>
              <w:rPr>
                <w:color w:val="2D3748"/>
                <w:sz w:val="18"/>
              </w:rPr>
              <w:t>Initial Draft, Problem Definition &amp; Scope Boundary</w:t>
            </w:r>
          </w:p>
        </w:tc>
        <w:tc>
          <w:tcPr>
            <w:tcW w:type="dxa" w:w="1584"/>
            <w:shd w:val="clear" w:color="auto" w:fill="F7FAFC"/>
            <w:tcMar>
              <w:top w:w="120" w:type="dxa"/>
              <w:bottom w:w="120" w:type="dxa"/>
              <w:left w:w="140" w:type="dxa"/>
              <w:right w:w="140" w:type="dxa"/>
            </w:tcMar>
            <w:vAlign w:val="center"/>
          </w:tcPr>
          <w:p>
            <w:r>
              <w:rPr>
                <w:color w:val="2D3748"/>
                <w:sz w:val="18"/>
              </w:rPr>
              <w:t>Nishchay Arora</w:t>
            </w:r>
          </w:p>
        </w:tc>
        <w:tc>
          <w:tcPr>
            <w:tcW w:type="dxa" w:w="1872"/>
            <w:shd w:val="clear" w:color="auto" w:fill="F7FAFC"/>
            <w:tcMar>
              <w:top w:w="120" w:type="dxa"/>
              <w:bottom w:w="120" w:type="dxa"/>
              <w:left w:w="140" w:type="dxa"/>
              <w:right w:w="140" w:type="dxa"/>
            </w:tcMar>
            <w:vAlign w:val="center"/>
          </w:tcPr>
          <w:p>
            <w:r>
              <w:rPr>
                <w:color w:val="2D3748"/>
                <w:sz w:val="18"/>
              </w:rPr>
              <w:t>Dr. Tanvi Saxena</w:t>
            </w:r>
          </w:p>
        </w:tc>
      </w:tr>
      <w:tr>
        <w:tc>
          <w:tcPr>
            <w:tcW w:type="dxa" w:w="1152"/>
            <w:shd w:val="clear" w:color="auto" w:fill="FFFFFF"/>
            <w:tcMar>
              <w:top w:w="120" w:type="dxa"/>
              <w:bottom w:w="120" w:type="dxa"/>
              <w:left w:w="140" w:type="dxa"/>
              <w:right w:w="140" w:type="dxa"/>
            </w:tcMar>
            <w:vAlign w:val="center"/>
          </w:tcPr>
          <w:p>
            <w:r>
              <w:rPr>
                <w:color w:val="2D3748"/>
                <w:sz w:val="18"/>
              </w:rPr>
              <w:t>1.0</w:t>
            </w:r>
          </w:p>
        </w:tc>
        <w:tc>
          <w:tcPr>
            <w:tcW w:type="dxa" w:w="1584"/>
            <w:shd w:val="clear" w:color="auto" w:fill="FFFFFF"/>
            <w:tcMar>
              <w:top w:w="120" w:type="dxa"/>
              <w:bottom w:w="120" w:type="dxa"/>
              <w:left w:w="140" w:type="dxa"/>
              <w:right w:w="140" w:type="dxa"/>
            </w:tcMar>
            <w:vAlign w:val="center"/>
          </w:tcPr>
          <w:p>
            <w:r>
              <w:rPr>
                <w:color w:val="2D3748"/>
                <w:sz w:val="18"/>
              </w:rPr>
              <w:t>30-Sep-2026</w:t>
            </w:r>
          </w:p>
        </w:tc>
        <w:tc>
          <w:tcPr>
            <w:tcW w:type="dxa" w:w="3888"/>
            <w:shd w:val="clear" w:color="auto" w:fill="FFFFFF"/>
            <w:tcMar>
              <w:top w:w="120" w:type="dxa"/>
              <w:bottom w:w="120" w:type="dxa"/>
              <w:left w:w="140" w:type="dxa"/>
              <w:right w:w="140" w:type="dxa"/>
            </w:tcMar>
            <w:vAlign w:val="center"/>
          </w:tcPr>
          <w:p>
            <w:r>
              <w:rPr>
                <w:color w:val="2D3748"/>
                <w:sz w:val="18"/>
              </w:rPr>
              <w:t>Final 3rd Year Mid-Term SRS Baseline (IEEE 830-1998)</w:t>
            </w:r>
          </w:p>
        </w:tc>
        <w:tc>
          <w:tcPr>
            <w:tcW w:type="dxa" w:w="1584"/>
            <w:shd w:val="clear" w:color="auto" w:fill="FFFFFF"/>
            <w:tcMar>
              <w:top w:w="120" w:type="dxa"/>
              <w:bottom w:w="120" w:type="dxa"/>
              <w:left w:w="140" w:type="dxa"/>
              <w:right w:w="140" w:type="dxa"/>
            </w:tcMar>
            <w:vAlign w:val="center"/>
          </w:tcPr>
          <w:p>
            <w:r>
              <w:rPr>
                <w:color w:val="2D3748"/>
                <w:sz w:val="18"/>
              </w:rPr>
              <w:t>Nishchay Arora</w:t>
            </w:r>
          </w:p>
        </w:tc>
        <w:tc>
          <w:tcPr>
            <w:tcW w:type="dxa" w:w="1872"/>
            <w:shd w:val="clear" w:color="auto" w:fill="FFFFFF"/>
            <w:tcMar>
              <w:top w:w="120" w:type="dxa"/>
              <w:bottom w:w="120" w:type="dxa"/>
              <w:left w:w="140" w:type="dxa"/>
              <w:right w:w="140" w:type="dxa"/>
            </w:tcMar>
            <w:vAlign w:val="center"/>
          </w:tcPr>
          <w:p>
            <w:r>
              <w:rPr>
                <w:color w:val="2D3748"/>
                <w:sz w:val="18"/>
              </w:rPr>
              <w:t>HOD / Review Committee</w:t>
            </w:r>
          </w:p>
        </w:tc>
      </w:tr>
    </w:tbl>
    <w:p>
      <w:pPr>
        <w:spacing w:after="300"/>
      </w:pPr>
    </w:p>
    <w:p>
      <w:pPr>
        <w:pStyle w:val="Heading1"/>
      </w:pPr>
      <w:r>
        <w:t>1. Introduction</w:t>
      </w:r>
    </w:p>
    <w:p>
      <w:pPr>
        <w:pStyle w:val="Heading2"/>
      </w:pPr>
      <w:r>
        <w:t>1.1 Purpose</w:t>
      </w:r>
    </w:p>
    <w:p>
      <w:r>
        <w:t>The purpose of this Software Requirements Specification (SRS) document is to establish a comprehensive, rigorous, and unambiguous formal definition of the software architecture, functional capabilities, performance metrics, and operational boundaries for the 'Knowledge-Driven IoT Fault Diagnosis Assistant: AI-Driven Digital Twin for Smart Factory Operations'. Conforming strictly to IEEE Std 830-1998 recommendations, this document serves as the formal academic baseline for the B.Tech 3rd-year Mechanical Engineering technical evaluation at ABES Engineering College / AKTU Lucknow.</w:t>
      </w:r>
    </w:p>
    <w:p>
      <w:pPr>
        <w:pStyle w:val="Heading2"/>
      </w:pPr>
      <w:r>
        <w:t>1.2 Scope of the System</w:t>
      </w:r>
    </w:p>
    <w:p>
      <w:r>
        <w:t>In modern automated manufacturing, unplanned production downtime and delayed quality defect discovery result in substantial scrap costs and process bottlenecks. The proposed platform addresses this industrial challenge by engineering an end-to-end Cyber-Physical Digital Twin grounded in the real-world Bosch Production Line Performance dataset (1,183,747 parts across multi-station manufacturing lines).</w:t>
      </w:r>
    </w:p>
    <w:p>
      <w:r>
        <w:rPr>
          <w:b/>
        </w:rPr>
        <w:t>In-Scope Capabilities:</w:t>
        <w:br/>
      </w:r>
      <w:r>
        <w:t>• Deterministic shop-floor telemetry replay over Eclipse Mosquitto MQTT with speed scaling (1x to 120x, burst &gt;7,000 events/s).</w:t>
        <w:br/>
        <w:t>• Real-time topological tracking of Line 3 core flow (S29 -&gt; S30 -&gt; S33 -&gt; S34 -&gt; (S35 | S36) -&gt; S37) handling 89.02% of factory throughput.</w:t>
        <w:br/>
        <w:t>• Stateful multi-factor Station Health Scoring (Hs in [0, 100]) combining sensor Z-score drift, pacing delay, and local defect rates.</w:t>
        <w:br/>
        <w:t>• PyTorch Multilayer Perceptron (MLP) defect risk prediction evaluated at the S34 fork with Platt probability calibration.</w:t>
        <w:br/>
        <w:t>• 1-layer PyTorch LSTM Autoencoder modeling 24-hour multivariate window sequences for unsupervised process anomaly detection.</w:t>
        <w:br/>
        <w:t>• Sub-second time-series persistence in InfluxDB v2 and live operational visualization via Grafana 11 with declarative alerting.</w:t>
      </w:r>
    </w:p>
    <w:p>
      <w:r>
        <w:rPr>
          <w:b/>
        </w:rPr>
        <w:t>Out-of-Scope Boundaries:</w:t>
        <w:br/>
      </w:r>
      <w:r>
        <w:t>• Closed-loop mechanical PLC actuation or pneumatic diverter hardware control (open-loop predictive advisory mode).</w:t>
        <w:br/>
        <w:t>• Commercial enterprise ERP/billing integration (SAP/Oracle).</w:t>
        <w:br/>
        <w:t>• Fabricated machine types or unverified physical tooling names (retaining strictly anonymized empirical nomenclature S29-S37).</w:t>
      </w:r>
    </w:p>
    <w:p>
      <w:r>
        <w:rPr>
          <w:b/>
        </w:rPr>
        <w:t>Expected Benefits:</w:t>
        <w:br/>
      </w:r>
      <w:r>
        <w:t>• Early Detection Lead Time: Provides +30 to 75 minutes of proactive quality warning before exit QA at S37.</w:t>
        <w:br/>
        <w:t>• Inspection Efficiency: Delivers Lift@1% of 5.8x to 7.26x, allowing QA inspectors to capture &gt;7% of defects by inspecting only the top 1% highest-risk parts.</w:t>
        <w:br/>
        <w:t>• Zero Data Fabrication: 100% grounded in empirical manufacturing data without synthetic anomaly injection.</w:t>
      </w:r>
    </w:p>
    <w:p>
      <w:pPr>
        <w:pStyle w:val="Heading2"/>
      </w:pPr>
      <w:r>
        <w:t>1.3 Definitions, Acronyms, and Abbreviations</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2B6CB0"/>
            <w:tcMar>
              <w:top w:w="120" w:type="dxa"/>
              <w:bottom w:w="120" w:type="dxa"/>
              <w:left w:w="140" w:type="dxa"/>
              <w:right w:w="140" w:type="dxa"/>
            </w:tcMar>
            <w:vAlign w:val="center"/>
          </w:tcPr>
          <w:p>
            <w:pPr>
              <w:jc w:val="center"/>
            </w:pPr>
            <w:r>
              <w:rPr>
                <w:b/>
                <w:color w:val="FFFFFF"/>
                <w:sz w:val="19"/>
              </w:rPr>
              <w:t>Category</w:t>
            </w:r>
          </w:p>
        </w:tc>
        <w:tc>
          <w:tcPr>
            <w:tcW w:type="dxa" w:w="1872"/>
            <w:shd w:val="clear" w:color="auto" w:fill="2B6CB0"/>
            <w:tcMar>
              <w:top w:w="120" w:type="dxa"/>
              <w:bottom w:w="120" w:type="dxa"/>
              <w:left w:w="140" w:type="dxa"/>
              <w:right w:w="140" w:type="dxa"/>
            </w:tcMar>
            <w:vAlign w:val="center"/>
          </w:tcPr>
          <w:p>
            <w:pPr>
              <w:jc w:val="center"/>
            </w:pPr>
            <w:r>
              <w:rPr>
                <w:b/>
                <w:color w:val="FFFFFF"/>
                <w:sz w:val="19"/>
              </w:rPr>
              <w:t>Term / Acronym</w:t>
            </w:r>
          </w:p>
        </w:tc>
        <w:tc>
          <w:tcPr>
            <w:tcW w:type="dxa" w:w="6480"/>
            <w:shd w:val="clear" w:color="auto" w:fill="2B6CB0"/>
            <w:tcMar>
              <w:top w:w="120" w:type="dxa"/>
              <w:bottom w:w="120" w:type="dxa"/>
              <w:left w:w="140" w:type="dxa"/>
              <w:right w:w="140" w:type="dxa"/>
            </w:tcMar>
            <w:vAlign w:val="center"/>
          </w:tcPr>
          <w:p>
            <w:pPr>
              <w:jc w:val="center"/>
            </w:pPr>
            <w:r>
              <w:rPr>
                <w:b/>
                <w:color w:val="FFFFFF"/>
                <w:sz w:val="19"/>
              </w:rPr>
              <w:t>Definition / Standard Industrial Context</w:t>
            </w:r>
          </w:p>
        </w:tc>
      </w:tr>
      <w:tr>
        <w:tc>
          <w:tcPr>
            <w:tcW w:type="dxa" w:w="1728"/>
            <w:shd w:val="clear" w:color="auto" w:fill="F7FAFC"/>
            <w:tcMar>
              <w:top w:w="120" w:type="dxa"/>
              <w:bottom w:w="120" w:type="dxa"/>
              <w:left w:w="140" w:type="dxa"/>
              <w:right w:w="140" w:type="dxa"/>
            </w:tcMar>
            <w:vAlign w:val="center"/>
          </w:tcPr>
          <w:p>
            <w:r>
              <w:rPr>
                <w:color w:val="2D3748"/>
                <w:sz w:val="18"/>
              </w:rPr>
              <w:t>Standard</w:t>
            </w:r>
          </w:p>
        </w:tc>
        <w:tc>
          <w:tcPr>
            <w:tcW w:type="dxa" w:w="1872"/>
            <w:shd w:val="clear" w:color="auto" w:fill="F7FAFC"/>
            <w:tcMar>
              <w:top w:w="120" w:type="dxa"/>
              <w:bottom w:w="120" w:type="dxa"/>
              <w:left w:w="140" w:type="dxa"/>
              <w:right w:w="140" w:type="dxa"/>
            </w:tcMar>
            <w:vAlign w:val="center"/>
          </w:tcPr>
          <w:p>
            <w:r>
              <w:rPr>
                <w:color w:val="2D3748"/>
                <w:sz w:val="18"/>
              </w:rPr>
              <w:t>SRS</w:t>
            </w:r>
          </w:p>
        </w:tc>
        <w:tc>
          <w:tcPr>
            <w:tcW w:type="dxa" w:w="6480"/>
            <w:shd w:val="clear" w:color="auto" w:fill="F7FAFC"/>
            <w:tcMar>
              <w:top w:w="120" w:type="dxa"/>
              <w:bottom w:w="120" w:type="dxa"/>
              <w:left w:w="140" w:type="dxa"/>
              <w:right w:w="140" w:type="dxa"/>
            </w:tcMar>
            <w:vAlign w:val="center"/>
          </w:tcPr>
          <w:p>
            <w:r>
              <w:rPr>
                <w:color w:val="2D3748"/>
                <w:sz w:val="18"/>
              </w:rPr>
              <w:t>Software Requirements Specification conforming to IEEE Std 830-1998 format.</w:t>
            </w:r>
          </w:p>
        </w:tc>
      </w:tr>
      <w:tr>
        <w:tc>
          <w:tcPr>
            <w:tcW w:type="dxa" w:w="1728"/>
            <w:shd w:val="clear" w:color="auto" w:fill="FFFFFF"/>
            <w:tcMar>
              <w:top w:w="120" w:type="dxa"/>
              <w:bottom w:w="120" w:type="dxa"/>
              <w:left w:w="140" w:type="dxa"/>
              <w:right w:w="140" w:type="dxa"/>
            </w:tcMar>
            <w:vAlign w:val="center"/>
          </w:tcPr>
          <w:p>
            <w:r>
              <w:rPr>
                <w:color w:val="2D3748"/>
                <w:sz w:val="18"/>
              </w:rPr>
              <w:t>Architecture</w:t>
            </w:r>
          </w:p>
        </w:tc>
        <w:tc>
          <w:tcPr>
            <w:tcW w:type="dxa" w:w="1872"/>
            <w:shd w:val="clear" w:color="auto" w:fill="FFFFFF"/>
            <w:tcMar>
              <w:top w:w="120" w:type="dxa"/>
              <w:bottom w:w="120" w:type="dxa"/>
              <w:left w:w="140" w:type="dxa"/>
              <w:right w:w="140" w:type="dxa"/>
            </w:tcMar>
            <w:vAlign w:val="center"/>
          </w:tcPr>
          <w:p>
            <w:r>
              <w:rPr>
                <w:color w:val="2D3748"/>
                <w:sz w:val="18"/>
              </w:rPr>
              <w:t>Digital Twin</w:t>
            </w:r>
          </w:p>
        </w:tc>
        <w:tc>
          <w:tcPr>
            <w:tcW w:type="dxa" w:w="6480"/>
            <w:shd w:val="clear" w:color="auto" w:fill="FFFFFF"/>
            <w:tcMar>
              <w:top w:w="120" w:type="dxa"/>
              <w:bottom w:w="120" w:type="dxa"/>
              <w:left w:w="140" w:type="dxa"/>
              <w:right w:w="140" w:type="dxa"/>
            </w:tcMar>
            <w:vAlign w:val="center"/>
          </w:tcPr>
          <w:p>
            <w:r>
              <w:rPr>
                <w:color w:val="2D3748"/>
                <w:sz w:val="18"/>
              </w:rPr>
              <w:t>Virtual software representation of physical machines and factory processes updated in real time.</w:t>
            </w:r>
          </w:p>
        </w:tc>
      </w:tr>
      <w:tr>
        <w:tc>
          <w:tcPr>
            <w:tcW w:type="dxa" w:w="1728"/>
            <w:shd w:val="clear" w:color="auto" w:fill="F7FAFC"/>
            <w:tcMar>
              <w:top w:w="120" w:type="dxa"/>
              <w:bottom w:w="120" w:type="dxa"/>
              <w:left w:w="140" w:type="dxa"/>
              <w:right w:w="140" w:type="dxa"/>
            </w:tcMar>
            <w:vAlign w:val="center"/>
          </w:tcPr>
          <w:p>
            <w:r>
              <w:rPr>
                <w:color w:val="2D3748"/>
                <w:sz w:val="18"/>
              </w:rPr>
              <w:t>Network</w:t>
            </w:r>
          </w:p>
        </w:tc>
        <w:tc>
          <w:tcPr>
            <w:tcW w:type="dxa" w:w="1872"/>
            <w:shd w:val="clear" w:color="auto" w:fill="F7FAFC"/>
            <w:tcMar>
              <w:top w:w="120" w:type="dxa"/>
              <w:bottom w:w="120" w:type="dxa"/>
              <w:left w:w="140" w:type="dxa"/>
              <w:right w:w="140" w:type="dxa"/>
            </w:tcMar>
            <w:vAlign w:val="center"/>
          </w:tcPr>
          <w:p>
            <w:r>
              <w:rPr>
                <w:color w:val="2D3748"/>
                <w:sz w:val="18"/>
              </w:rPr>
              <w:t>MQTT</w:t>
            </w:r>
          </w:p>
        </w:tc>
        <w:tc>
          <w:tcPr>
            <w:tcW w:type="dxa" w:w="6480"/>
            <w:shd w:val="clear" w:color="auto" w:fill="F7FAFC"/>
            <w:tcMar>
              <w:top w:w="120" w:type="dxa"/>
              <w:bottom w:w="120" w:type="dxa"/>
              <w:left w:w="140" w:type="dxa"/>
              <w:right w:w="140" w:type="dxa"/>
            </w:tcMar>
            <w:vAlign w:val="center"/>
          </w:tcPr>
          <w:p>
            <w:r>
              <w:rPr>
                <w:color w:val="2D3748"/>
                <w:sz w:val="18"/>
              </w:rPr>
              <w:t>Message Queuing Telemetry Transport (ISO/IEC 20922); industrial lightweight pub/sub protocol.</w:t>
            </w:r>
          </w:p>
        </w:tc>
      </w:tr>
      <w:tr>
        <w:tc>
          <w:tcPr>
            <w:tcW w:type="dxa" w:w="1728"/>
            <w:shd w:val="clear" w:color="auto" w:fill="FFFFFF"/>
            <w:tcMar>
              <w:top w:w="120" w:type="dxa"/>
              <w:bottom w:w="120" w:type="dxa"/>
              <w:left w:w="140" w:type="dxa"/>
              <w:right w:w="140" w:type="dxa"/>
            </w:tcMar>
            <w:vAlign w:val="center"/>
          </w:tcPr>
          <w:p>
            <w:r>
              <w:rPr>
                <w:color w:val="2D3748"/>
                <w:sz w:val="18"/>
              </w:rPr>
              <w:t>Database</w:t>
            </w:r>
          </w:p>
        </w:tc>
        <w:tc>
          <w:tcPr>
            <w:tcW w:type="dxa" w:w="1872"/>
            <w:shd w:val="clear" w:color="auto" w:fill="FFFFFF"/>
            <w:tcMar>
              <w:top w:w="120" w:type="dxa"/>
              <w:bottom w:w="120" w:type="dxa"/>
              <w:left w:w="140" w:type="dxa"/>
              <w:right w:w="140" w:type="dxa"/>
            </w:tcMar>
            <w:vAlign w:val="center"/>
          </w:tcPr>
          <w:p>
            <w:r>
              <w:rPr>
                <w:color w:val="2D3748"/>
                <w:sz w:val="18"/>
              </w:rPr>
              <w:t>TSM / Flux</w:t>
            </w:r>
          </w:p>
        </w:tc>
        <w:tc>
          <w:tcPr>
            <w:tcW w:type="dxa" w:w="6480"/>
            <w:shd w:val="clear" w:color="auto" w:fill="FFFFFF"/>
            <w:tcMar>
              <w:top w:w="120" w:type="dxa"/>
              <w:bottom w:w="120" w:type="dxa"/>
              <w:left w:w="140" w:type="dxa"/>
              <w:right w:w="140" w:type="dxa"/>
            </w:tcMar>
            <w:vAlign w:val="center"/>
          </w:tcPr>
          <w:p>
            <w:r>
              <w:rPr>
                <w:color w:val="2D3748"/>
                <w:sz w:val="18"/>
              </w:rPr>
              <w:t>Time-Structured Merge tree storage engine in InfluxDB v2; Flux functional data query language.</w:t>
            </w:r>
          </w:p>
        </w:tc>
      </w:tr>
      <w:tr>
        <w:tc>
          <w:tcPr>
            <w:tcW w:type="dxa" w:w="1728"/>
            <w:shd w:val="clear" w:color="auto" w:fill="F7FAFC"/>
            <w:tcMar>
              <w:top w:w="120" w:type="dxa"/>
              <w:bottom w:w="120" w:type="dxa"/>
              <w:left w:w="140" w:type="dxa"/>
              <w:right w:w="140" w:type="dxa"/>
            </w:tcMar>
            <w:vAlign w:val="center"/>
          </w:tcPr>
          <w:p>
            <w:r>
              <w:rPr>
                <w:color w:val="2D3748"/>
                <w:sz w:val="18"/>
              </w:rPr>
              <w:t>Deep Learning</w:t>
            </w:r>
          </w:p>
        </w:tc>
        <w:tc>
          <w:tcPr>
            <w:tcW w:type="dxa" w:w="1872"/>
            <w:shd w:val="clear" w:color="auto" w:fill="F7FAFC"/>
            <w:tcMar>
              <w:top w:w="120" w:type="dxa"/>
              <w:bottom w:w="120" w:type="dxa"/>
              <w:left w:w="140" w:type="dxa"/>
              <w:right w:w="140" w:type="dxa"/>
            </w:tcMar>
            <w:vAlign w:val="center"/>
          </w:tcPr>
          <w:p>
            <w:r>
              <w:rPr>
                <w:color w:val="2D3748"/>
                <w:sz w:val="18"/>
              </w:rPr>
              <w:t>MLP / LSTM-AE</w:t>
            </w:r>
          </w:p>
        </w:tc>
        <w:tc>
          <w:tcPr>
            <w:tcW w:type="dxa" w:w="6480"/>
            <w:shd w:val="clear" w:color="auto" w:fill="F7FAFC"/>
            <w:tcMar>
              <w:top w:w="120" w:type="dxa"/>
              <w:bottom w:w="120" w:type="dxa"/>
              <w:left w:w="140" w:type="dxa"/>
              <w:right w:w="140" w:type="dxa"/>
            </w:tcMar>
            <w:vAlign w:val="center"/>
          </w:tcPr>
          <w:p>
            <w:r>
              <w:rPr>
                <w:color w:val="2D3748"/>
                <w:sz w:val="18"/>
              </w:rPr>
              <w:t>Multilayer Perceptron for defect classification; LSTM Autoencoder for temporal anomaly detection.</w:t>
            </w:r>
          </w:p>
        </w:tc>
      </w:tr>
      <w:tr>
        <w:tc>
          <w:tcPr>
            <w:tcW w:type="dxa" w:w="1728"/>
            <w:shd w:val="clear" w:color="auto" w:fill="FFFFFF"/>
            <w:tcMar>
              <w:top w:w="120" w:type="dxa"/>
              <w:bottom w:w="120" w:type="dxa"/>
              <w:left w:w="140" w:type="dxa"/>
              <w:right w:w="140" w:type="dxa"/>
            </w:tcMar>
            <w:vAlign w:val="center"/>
          </w:tcPr>
          <w:p>
            <w:r>
              <w:rPr>
                <w:color w:val="2D3748"/>
                <w:sz w:val="18"/>
              </w:rPr>
              <w:t>Statistics</w:t>
            </w:r>
          </w:p>
        </w:tc>
        <w:tc>
          <w:tcPr>
            <w:tcW w:type="dxa" w:w="1872"/>
            <w:shd w:val="clear" w:color="auto" w:fill="FFFFFF"/>
            <w:tcMar>
              <w:top w:w="120" w:type="dxa"/>
              <w:bottom w:w="120" w:type="dxa"/>
              <w:left w:w="140" w:type="dxa"/>
              <w:right w:w="140" w:type="dxa"/>
            </w:tcMar>
            <w:vAlign w:val="center"/>
          </w:tcPr>
          <w:p>
            <w:r>
              <w:rPr>
                <w:color w:val="2D3748"/>
                <w:sz w:val="18"/>
              </w:rPr>
              <w:t>PR-AUC</w:t>
            </w:r>
          </w:p>
        </w:tc>
        <w:tc>
          <w:tcPr>
            <w:tcW w:type="dxa" w:w="6480"/>
            <w:shd w:val="clear" w:color="auto" w:fill="FFFFFF"/>
            <w:tcMar>
              <w:top w:w="120" w:type="dxa"/>
              <w:bottom w:w="120" w:type="dxa"/>
              <w:left w:w="140" w:type="dxa"/>
              <w:right w:w="140" w:type="dxa"/>
            </w:tcMar>
            <w:vAlign w:val="center"/>
          </w:tcPr>
          <w:p>
            <w:r>
              <w:rPr>
                <w:color w:val="2D3748"/>
                <w:sz w:val="18"/>
              </w:rPr>
              <w:t>Precision-Recall Area Under Curve; robust performance metric under severe class imbalance (0.51% defect rate).</w:t>
            </w:r>
          </w:p>
        </w:tc>
      </w:tr>
      <w:tr>
        <w:tc>
          <w:tcPr>
            <w:tcW w:type="dxa" w:w="1728"/>
            <w:shd w:val="clear" w:color="auto" w:fill="F7FAFC"/>
            <w:tcMar>
              <w:top w:w="120" w:type="dxa"/>
              <w:bottom w:w="120" w:type="dxa"/>
              <w:left w:w="140" w:type="dxa"/>
              <w:right w:w="140" w:type="dxa"/>
            </w:tcMar>
            <w:vAlign w:val="center"/>
          </w:tcPr>
          <w:p>
            <w:r>
              <w:rPr>
                <w:color w:val="2D3748"/>
                <w:sz w:val="18"/>
              </w:rPr>
              <w:t>Calibration</w:t>
            </w:r>
          </w:p>
        </w:tc>
        <w:tc>
          <w:tcPr>
            <w:tcW w:type="dxa" w:w="1872"/>
            <w:shd w:val="clear" w:color="auto" w:fill="F7FAFC"/>
            <w:tcMar>
              <w:top w:w="120" w:type="dxa"/>
              <w:bottom w:w="120" w:type="dxa"/>
              <w:left w:w="140" w:type="dxa"/>
              <w:right w:w="140" w:type="dxa"/>
            </w:tcMar>
            <w:vAlign w:val="center"/>
          </w:tcPr>
          <w:p>
            <w:r>
              <w:rPr>
                <w:color w:val="2D3748"/>
                <w:sz w:val="18"/>
              </w:rPr>
              <w:t>Platt Scaling</w:t>
            </w:r>
          </w:p>
        </w:tc>
        <w:tc>
          <w:tcPr>
            <w:tcW w:type="dxa" w:w="6480"/>
            <w:shd w:val="clear" w:color="auto" w:fill="F7FAFC"/>
            <w:tcMar>
              <w:top w:w="120" w:type="dxa"/>
              <w:bottom w:w="120" w:type="dxa"/>
              <w:left w:w="140" w:type="dxa"/>
              <w:right w:w="140" w:type="dxa"/>
            </w:tcMar>
            <w:vAlign w:val="center"/>
          </w:tcPr>
          <w:p>
            <w:r>
              <w:rPr>
                <w:color w:val="2D3748"/>
                <w:sz w:val="18"/>
              </w:rPr>
              <w:t>Logistic calibration mapping neural network logits into true posterior Bayesian probabilities.</w:t>
            </w:r>
          </w:p>
        </w:tc>
      </w:tr>
    </w:tbl>
    <w:p>
      <w:r>
        <w:br w:type="page"/>
      </w:r>
    </w:p>
    <w:p>
      <w:pPr>
        <w:pStyle w:val="Heading1"/>
      </w:pPr>
      <w:r>
        <w:t>2. Overall Description</w:t>
      </w:r>
    </w:p>
    <w:p>
      <w:pPr>
        <w:pStyle w:val="Heading2"/>
      </w:pPr>
      <w:r>
        <w:t>2.1 Product Perspective &amp; Context Architecture</w:t>
      </w:r>
    </w:p>
    <w:p>
      <w:r>
        <w:t>The digital twin functions as an edge-native industrial intelligence platform. Raw historical sensor visits are replayed by the Replay Engine over MQTT topics. The Ingestion Service transforms telemetry into nanosecond InfluxDB points, while the Scoring Service computes composite health and triggers GPU-accelerated PyTorch defect and anomaly inferences. Operational stakeholders view live dashboards and receive provisioned alerts via Grafana 11.</w:t>
      </w:r>
    </w:p>
    <w:p>
      <w:pPr>
        <w:jc w:val="center"/>
      </w:pPr>
    </w:p>
    <w:p>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figure1_line3_topology.png"/>
                    <pic:cNvPicPr/>
                  </pic:nvPicPr>
                  <pic:blipFill>
                    <a:blip r:embed="rId9"/>
                    <a:stretch>
                      <a:fillRect/>
                    </a:stretch>
                  </pic:blipFill>
                  <pic:spPr>
                    <a:xfrm>
                      <a:off x="0" y="0"/>
                      <a:ext cx="5669280" cy="2319251"/>
                    </a:xfrm>
                    <a:prstGeom prst="rect"/>
                  </pic:spPr>
                </pic:pic>
              </a:graphicData>
            </a:graphic>
          </wp:inline>
        </w:drawing>
      </w:r>
    </w:p>
    <w:p>
      <w:pPr>
        <w:jc w:val="center"/>
      </w:pPr>
      <w:r>
        <w:rPr>
          <w:i/>
          <w:sz w:val="19"/>
        </w:rPr>
        <w:t>Figure 2.1: Bosch Line 3 Core Manufacturing Topology &amp; Informative Feature Allocation</w:t>
      </w:r>
    </w:p>
    <w:p>
      <w:pPr>
        <w:pStyle w:val="Heading2"/>
      </w:pPr>
      <w:r>
        <w:t>2.2 User Classes and Characteristics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2B6CB0"/>
            <w:tcMar>
              <w:top w:w="120" w:type="dxa"/>
              <w:bottom w:w="120" w:type="dxa"/>
              <w:left w:w="140" w:type="dxa"/>
              <w:right w:w="140" w:type="dxa"/>
            </w:tcMar>
            <w:vAlign w:val="center"/>
          </w:tcPr>
          <w:p>
            <w:pPr>
              <w:jc w:val="center"/>
            </w:pPr>
            <w:r>
              <w:rPr>
                <w:b/>
                <w:color w:val="FFFFFF"/>
                <w:sz w:val="19"/>
              </w:rPr>
              <w:t>User Role / Persona</w:t>
            </w:r>
          </w:p>
        </w:tc>
        <w:tc>
          <w:tcPr>
            <w:tcW w:type="dxa" w:w="2160"/>
            <w:shd w:val="clear" w:color="auto" w:fill="2B6CB0"/>
            <w:tcMar>
              <w:top w:w="120" w:type="dxa"/>
              <w:bottom w:w="120" w:type="dxa"/>
              <w:left w:w="140" w:type="dxa"/>
              <w:right w:w="140" w:type="dxa"/>
            </w:tcMar>
            <w:vAlign w:val="center"/>
          </w:tcPr>
          <w:p>
            <w:pPr>
              <w:jc w:val="center"/>
            </w:pPr>
            <w:r>
              <w:rPr>
                <w:b/>
                <w:color w:val="FFFFFF"/>
                <w:sz w:val="19"/>
              </w:rPr>
              <w:t>Technical Proficiency</w:t>
            </w:r>
          </w:p>
        </w:tc>
        <w:tc>
          <w:tcPr>
            <w:tcW w:type="dxa" w:w="5328"/>
            <w:shd w:val="clear" w:color="auto" w:fill="2B6CB0"/>
            <w:tcMar>
              <w:top w:w="120" w:type="dxa"/>
              <w:bottom w:w="120" w:type="dxa"/>
              <w:left w:w="140" w:type="dxa"/>
              <w:right w:w="140" w:type="dxa"/>
            </w:tcMar>
            <w:vAlign w:val="center"/>
          </w:tcPr>
          <w:p>
            <w:pPr>
              <w:jc w:val="center"/>
            </w:pPr>
            <w:r>
              <w:rPr>
                <w:b/>
                <w:color w:val="FFFFFF"/>
                <w:sz w:val="19"/>
              </w:rPr>
              <w:t>Core Responsibilities &amp; Access Rights</w:t>
            </w:r>
          </w:p>
        </w:tc>
      </w:tr>
      <w:tr>
        <w:tc>
          <w:tcPr>
            <w:tcW w:type="dxa" w:w="2592"/>
            <w:shd w:val="clear" w:color="auto" w:fill="F7FAFC"/>
            <w:tcMar>
              <w:top w:w="120" w:type="dxa"/>
              <w:bottom w:w="120" w:type="dxa"/>
              <w:left w:w="140" w:type="dxa"/>
              <w:right w:w="140" w:type="dxa"/>
            </w:tcMar>
            <w:vAlign w:val="center"/>
          </w:tcPr>
          <w:p>
            <w:r>
              <w:rPr>
                <w:color w:val="2D3748"/>
                <w:sz w:val="18"/>
              </w:rPr>
              <w:t>Plant Operations Engineer</w:t>
            </w:r>
          </w:p>
        </w:tc>
        <w:tc>
          <w:tcPr>
            <w:tcW w:type="dxa" w:w="2160"/>
            <w:shd w:val="clear" w:color="auto" w:fill="F7FAFC"/>
            <w:tcMar>
              <w:top w:w="120" w:type="dxa"/>
              <w:bottom w:w="120" w:type="dxa"/>
              <w:left w:w="140" w:type="dxa"/>
              <w:right w:w="140" w:type="dxa"/>
            </w:tcMar>
            <w:vAlign w:val="center"/>
          </w:tcPr>
          <w:p>
            <w:r>
              <w:rPr>
                <w:color w:val="2D3748"/>
                <w:sz w:val="18"/>
              </w:rPr>
              <w:t>High (Industrial Engg)</w:t>
            </w:r>
          </w:p>
        </w:tc>
        <w:tc>
          <w:tcPr>
            <w:tcW w:type="dxa" w:w="5328"/>
            <w:shd w:val="clear" w:color="auto" w:fill="F7FAFC"/>
            <w:tcMar>
              <w:top w:w="120" w:type="dxa"/>
              <w:bottom w:w="120" w:type="dxa"/>
              <w:left w:w="140" w:type="dxa"/>
              <w:right w:w="140" w:type="dxa"/>
            </w:tcMar>
            <w:vAlign w:val="center"/>
          </w:tcPr>
          <w:p>
            <w:r>
              <w:rPr>
                <w:color w:val="2D3748"/>
                <w:sz w:val="18"/>
              </w:rPr>
              <w:t>Monitors Line Overview; tracks plant WIP, station health matrix, and line throughput.</w:t>
            </w:r>
          </w:p>
        </w:tc>
      </w:tr>
      <w:tr>
        <w:tc>
          <w:tcPr>
            <w:tcW w:type="dxa" w:w="2592"/>
            <w:shd w:val="clear" w:color="auto" w:fill="FFFFFF"/>
            <w:tcMar>
              <w:top w:w="120" w:type="dxa"/>
              <w:bottom w:w="120" w:type="dxa"/>
              <w:left w:w="140" w:type="dxa"/>
              <w:right w:w="140" w:type="dxa"/>
            </w:tcMar>
            <w:vAlign w:val="center"/>
          </w:tcPr>
          <w:p>
            <w:r>
              <w:rPr>
                <w:color w:val="2D3748"/>
                <w:sz w:val="18"/>
              </w:rPr>
              <w:t>Quality Control Specialist</w:t>
            </w:r>
          </w:p>
        </w:tc>
        <w:tc>
          <w:tcPr>
            <w:tcW w:type="dxa" w:w="2160"/>
            <w:shd w:val="clear" w:color="auto" w:fill="FFFFFF"/>
            <w:tcMar>
              <w:top w:w="120" w:type="dxa"/>
              <w:bottom w:w="120" w:type="dxa"/>
              <w:left w:w="140" w:type="dxa"/>
              <w:right w:w="140" w:type="dxa"/>
            </w:tcMar>
            <w:vAlign w:val="center"/>
          </w:tcPr>
          <w:p>
            <w:r>
              <w:rPr>
                <w:color w:val="2D3748"/>
                <w:sz w:val="18"/>
              </w:rPr>
              <w:t>Intermediate (QA / QC)</w:t>
            </w:r>
          </w:p>
        </w:tc>
        <w:tc>
          <w:tcPr>
            <w:tcW w:type="dxa" w:w="5328"/>
            <w:shd w:val="clear" w:color="auto" w:fill="FFFFFF"/>
            <w:tcMar>
              <w:top w:w="120" w:type="dxa"/>
              <w:bottom w:w="120" w:type="dxa"/>
              <w:left w:w="140" w:type="dxa"/>
              <w:right w:w="140" w:type="dxa"/>
            </w:tcMar>
            <w:vAlign w:val="center"/>
          </w:tcPr>
          <w:p>
            <w:r>
              <w:rPr>
                <w:color w:val="2D3748"/>
                <w:sz w:val="18"/>
              </w:rPr>
              <w:t>Monitors Parts &amp; Risk and AI Insights; inspects parts with risk &gt; 0.70; reviews early warnings.</w:t>
            </w:r>
          </w:p>
        </w:tc>
      </w:tr>
      <w:tr>
        <w:tc>
          <w:tcPr>
            <w:tcW w:type="dxa" w:w="2592"/>
            <w:shd w:val="clear" w:color="auto" w:fill="F7FAFC"/>
            <w:tcMar>
              <w:top w:w="120" w:type="dxa"/>
              <w:bottom w:w="120" w:type="dxa"/>
              <w:left w:w="140" w:type="dxa"/>
              <w:right w:w="140" w:type="dxa"/>
            </w:tcMar>
            <w:vAlign w:val="center"/>
          </w:tcPr>
          <w:p>
            <w:r>
              <w:rPr>
                <w:color w:val="2D3748"/>
                <w:sz w:val="18"/>
              </w:rPr>
              <w:t>Maintenance Technician</w:t>
            </w:r>
          </w:p>
        </w:tc>
        <w:tc>
          <w:tcPr>
            <w:tcW w:type="dxa" w:w="2160"/>
            <w:shd w:val="clear" w:color="auto" w:fill="F7FAFC"/>
            <w:tcMar>
              <w:top w:w="120" w:type="dxa"/>
              <w:bottom w:w="120" w:type="dxa"/>
              <w:left w:w="140" w:type="dxa"/>
              <w:right w:w="140" w:type="dxa"/>
            </w:tcMar>
            <w:vAlign w:val="center"/>
          </w:tcPr>
          <w:p>
            <w:r>
              <w:rPr>
                <w:color w:val="2D3748"/>
                <w:sz w:val="18"/>
              </w:rPr>
              <w:t>Intermediate (Shop Floor)</w:t>
            </w:r>
          </w:p>
        </w:tc>
        <w:tc>
          <w:tcPr>
            <w:tcW w:type="dxa" w:w="5328"/>
            <w:shd w:val="clear" w:color="auto" w:fill="F7FAFC"/>
            <w:tcMar>
              <w:top w:w="120" w:type="dxa"/>
              <w:bottom w:w="120" w:type="dxa"/>
              <w:left w:w="140" w:type="dxa"/>
              <w:right w:w="140" w:type="dxa"/>
            </w:tcMar>
            <w:vAlign w:val="center"/>
          </w:tcPr>
          <w:p>
            <w:r>
              <w:rPr>
                <w:color w:val="2D3748"/>
                <w:sz w:val="18"/>
              </w:rPr>
              <w:t>Responds to station health warnings (Hs &lt; 50); diagnoses sensor feature drift and transit delays.</w:t>
            </w:r>
          </w:p>
        </w:tc>
      </w:tr>
      <w:tr>
        <w:tc>
          <w:tcPr>
            <w:tcW w:type="dxa" w:w="2592"/>
            <w:shd w:val="clear" w:color="auto" w:fill="FFFFFF"/>
            <w:tcMar>
              <w:top w:w="120" w:type="dxa"/>
              <w:bottom w:w="120" w:type="dxa"/>
              <w:left w:w="140" w:type="dxa"/>
              <w:right w:w="140" w:type="dxa"/>
            </w:tcMar>
            <w:vAlign w:val="center"/>
          </w:tcPr>
          <w:p>
            <w:r>
              <w:rPr>
                <w:color w:val="2D3748"/>
                <w:sz w:val="18"/>
              </w:rPr>
              <w:t>Academic Evaluator / Guide</w:t>
            </w:r>
          </w:p>
        </w:tc>
        <w:tc>
          <w:tcPr>
            <w:tcW w:type="dxa" w:w="2160"/>
            <w:shd w:val="clear" w:color="auto" w:fill="FFFFFF"/>
            <w:tcMar>
              <w:top w:w="120" w:type="dxa"/>
              <w:bottom w:w="120" w:type="dxa"/>
              <w:left w:w="140" w:type="dxa"/>
              <w:right w:w="140" w:type="dxa"/>
            </w:tcMar>
            <w:vAlign w:val="center"/>
          </w:tcPr>
          <w:p>
            <w:r>
              <w:rPr>
                <w:color w:val="2D3748"/>
                <w:sz w:val="18"/>
              </w:rPr>
              <w:t>High (Software / AI Research)</w:t>
            </w:r>
          </w:p>
        </w:tc>
        <w:tc>
          <w:tcPr>
            <w:tcW w:type="dxa" w:w="5328"/>
            <w:shd w:val="clear" w:color="auto" w:fill="FFFFFF"/>
            <w:tcMar>
              <w:top w:w="120" w:type="dxa"/>
              <w:bottom w:w="120" w:type="dxa"/>
              <w:left w:w="140" w:type="dxa"/>
              <w:right w:w="140" w:type="dxa"/>
            </w:tcMar>
            <w:vAlign w:val="center"/>
          </w:tcPr>
          <w:p>
            <w:r>
              <w:rPr>
                <w:color w:val="2D3748"/>
                <w:sz w:val="18"/>
              </w:rPr>
              <w:t>Audits system architecture, causal validation integrity, ML metrics, and test coverage.</w:t>
            </w:r>
          </w:p>
        </w:tc>
      </w:tr>
    </w:tbl>
    <w:p>
      <w:pPr>
        <w:pStyle w:val="Heading2"/>
      </w:pPr>
      <w:r>
        <w:t>2.3 Operating Environment &amp; Technical Stack</w:t>
      </w:r>
    </w:p>
    <w:p>
      <w:r>
        <w:t>• Host Hardware: Intel Core i5/i7/i9 (x86_64) CPU, 16 GB RAM minimum.</w:t>
        <w:br/>
        <w:t>• Hardware Acceleration: NVIDIA GeForce RTX 3050 Laptop GPU (6 GB VRAM) with CUDA 12.4 support (automatic CPU fallback supported).</w:t>
        <w:br/>
        <w:t>• Host Operating System: Microsoft Windows 11 / Windows 10 (PowerShell 7+) or Ubuntu 22.04 LTS.</w:t>
        <w:br/>
        <w:t>• Virtualization: Docker Desktop 4.28+ with Linux container subsystem and Intel VT-x.</w:t>
        <w:br/>
        <w:t>• Core Software Frameworks: Python 3.12, PyTorch 2.6.0+cu124, InfluxDB v2.7, Eclipse Mosquitto 2.0, Grafana 11.1.0.</w:t>
      </w:r>
    </w:p>
    <w:p>
      <w:r>
        <w:br w:type="page"/>
      </w:r>
    </w:p>
    <w:p>
      <w:pPr>
        <w:pStyle w:val="Heading1"/>
      </w:pPr>
      <w:r>
        <w:t>3. System Features and Functional Requirements</w:t>
      </w:r>
    </w:p>
    <w:p>
      <w:pPr>
        <w:pStyle w:val="Heading2"/>
      </w:pPr>
      <w:r>
        <w:t>3.1 Module 1: Ingestion, Streaming &amp; Discrete-Event Replay</w:t>
      </w:r>
    </w:p>
    <w:tbl>
      <w:tblPr>
        <w:tblW w:type="auto" w:w="0"/>
        <w:jc w:val="center"/>
        <w:tblLook w:firstColumn="1" w:firstRow="1" w:lastColumn="0" w:lastRow="0" w:noHBand="0" w:noVBand="1" w:val="04A0"/>
      </w:tblPr>
      <w:tblGrid>
        <w:gridCol w:w="2340"/>
        <w:gridCol w:w="2340"/>
        <w:gridCol w:w="2340"/>
        <w:gridCol w:w="2340"/>
      </w:tblGrid>
      <w:tr>
        <w:tc>
          <w:tcPr>
            <w:tcW w:type="dxa" w:w="1296"/>
            <w:shd w:val="clear" w:color="auto" w:fill="2B6CB0"/>
            <w:tcMar>
              <w:top w:w="120" w:type="dxa"/>
              <w:bottom w:w="120" w:type="dxa"/>
              <w:left w:w="140" w:type="dxa"/>
              <w:right w:w="140" w:type="dxa"/>
            </w:tcMar>
            <w:vAlign w:val="center"/>
          </w:tcPr>
          <w:p>
            <w:pPr>
              <w:jc w:val="center"/>
            </w:pPr>
            <w:r>
              <w:rPr>
                <w:b/>
                <w:color w:val="FFFFFF"/>
                <w:sz w:val="19"/>
              </w:rPr>
              <w:t>Req ID</w:t>
            </w:r>
          </w:p>
        </w:tc>
        <w:tc>
          <w:tcPr>
            <w:tcW w:type="dxa" w:w="2592"/>
            <w:shd w:val="clear" w:color="auto" w:fill="2B6CB0"/>
            <w:tcMar>
              <w:top w:w="120" w:type="dxa"/>
              <w:bottom w:w="120" w:type="dxa"/>
              <w:left w:w="140" w:type="dxa"/>
              <w:right w:w="140" w:type="dxa"/>
            </w:tcMar>
            <w:vAlign w:val="center"/>
          </w:tcPr>
          <w:p>
            <w:pPr>
              <w:jc w:val="center"/>
            </w:pPr>
            <w:r>
              <w:rPr>
                <w:b/>
                <w:color w:val="FFFFFF"/>
                <w:sz w:val="19"/>
              </w:rPr>
              <w:t>Feature Description</w:t>
            </w:r>
          </w:p>
        </w:tc>
        <w:tc>
          <w:tcPr>
            <w:tcW w:type="dxa" w:w="4896"/>
            <w:shd w:val="clear" w:color="auto" w:fill="2B6CB0"/>
            <w:tcMar>
              <w:top w:w="120" w:type="dxa"/>
              <w:bottom w:w="120" w:type="dxa"/>
              <w:left w:w="140" w:type="dxa"/>
              <w:right w:w="140" w:type="dxa"/>
            </w:tcMar>
            <w:vAlign w:val="center"/>
          </w:tcPr>
          <w:p>
            <w:pPr>
              <w:jc w:val="center"/>
            </w:pPr>
            <w:r>
              <w:rPr>
                <w:b/>
                <w:color w:val="FFFFFF"/>
                <w:sz w:val="19"/>
              </w:rPr>
              <w:t>Input / Validation Rule</w:t>
            </w:r>
          </w:p>
        </w:tc>
        <w:tc>
          <w:tcPr>
            <w:tcW w:type="dxa" w:w="1296"/>
            <w:shd w:val="clear" w:color="auto" w:fill="2B6CB0"/>
            <w:tcMar>
              <w:top w:w="120" w:type="dxa"/>
              <w:bottom w:w="120" w:type="dxa"/>
              <w:left w:w="140" w:type="dxa"/>
              <w:right w:w="140" w:type="dxa"/>
            </w:tcMar>
            <w:vAlign w:val="center"/>
          </w:tcPr>
          <w:p>
            <w:pPr>
              <w:jc w:val="center"/>
            </w:pPr>
            <w:r>
              <w:rPr>
                <w:b/>
                <w:color w:val="FFFFFF"/>
                <w:sz w:val="19"/>
              </w:rPr>
              <w:t>Priority</w:t>
            </w:r>
          </w:p>
        </w:tc>
      </w:tr>
      <w:tr>
        <w:tc>
          <w:tcPr>
            <w:tcW w:type="dxa" w:w="1296"/>
            <w:shd w:val="clear" w:color="auto" w:fill="F7FAFC"/>
            <w:tcMar>
              <w:top w:w="120" w:type="dxa"/>
              <w:bottom w:w="120" w:type="dxa"/>
              <w:left w:w="140" w:type="dxa"/>
              <w:right w:w="140" w:type="dxa"/>
            </w:tcMar>
            <w:vAlign w:val="center"/>
          </w:tcPr>
          <w:p>
            <w:r>
              <w:rPr>
                <w:color w:val="2D3748"/>
                <w:sz w:val="18"/>
              </w:rPr>
              <w:t>FR-1.1</w:t>
            </w:r>
          </w:p>
        </w:tc>
        <w:tc>
          <w:tcPr>
            <w:tcW w:type="dxa" w:w="2592"/>
            <w:shd w:val="clear" w:color="auto" w:fill="F7FAFC"/>
            <w:tcMar>
              <w:top w:w="120" w:type="dxa"/>
              <w:bottom w:w="120" w:type="dxa"/>
              <w:left w:w="140" w:type="dxa"/>
              <w:right w:w="140" w:type="dxa"/>
            </w:tcMar>
            <w:vAlign w:val="center"/>
          </w:tcPr>
          <w:p>
            <w:r>
              <w:rPr>
                <w:color w:val="2D3748"/>
                <w:sz w:val="18"/>
              </w:rPr>
              <w:t>Deterministic Replay</w:t>
            </w:r>
          </w:p>
        </w:tc>
        <w:tc>
          <w:tcPr>
            <w:tcW w:type="dxa" w:w="4896"/>
            <w:shd w:val="clear" w:color="auto" w:fill="F7FAFC"/>
            <w:tcMar>
              <w:top w:w="120" w:type="dxa"/>
              <w:bottom w:w="120" w:type="dxa"/>
              <w:left w:w="140" w:type="dxa"/>
              <w:right w:w="140" w:type="dxa"/>
            </w:tcMar>
            <w:vAlign w:val="center"/>
          </w:tcPr>
          <w:p>
            <w:r>
              <w:rPr>
                <w:color w:val="2D3748"/>
                <w:sz w:val="18"/>
              </w:rPr>
              <w:t>Streams historical visits chronologically from pre-compiled Parquet scenario datasets.</w:t>
            </w:r>
          </w:p>
        </w:tc>
        <w:tc>
          <w:tcPr>
            <w:tcW w:type="dxa" w:w="1296"/>
            <w:shd w:val="clear" w:color="auto" w:fill="F7FAFC"/>
            <w:tcMar>
              <w:top w:w="120" w:type="dxa"/>
              <w:bottom w:w="120" w:type="dxa"/>
              <w:left w:w="140" w:type="dxa"/>
              <w:right w:w="140" w:type="dxa"/>
            </w:tcMar>
            <w:vAlign w:val="center"/>
          </w:tcPr>
          <w:p>
            <w:r>
              <w:rPr>
                <w:color w:val="2D3748"/>
                <w:sz w:val="18"/>
              </w:rPr>
              <w:t>High</w:t>
            </w:r>
          </w:p>
        </w:tc>
      </w:tr>
      <w:tr>
        <w:tc>
          <w:tcPr>
            <w:tcW w:type="dxa" w:w="1296"/>
            <w:shd w:val="clear" w:color="auto" w:fill="FFFFFF"/>
            <w:tcMar>
              <w:top w:w="120" w:type="dxa"/>
              <w:bottom w:w="120" w:type="dxa"/>
              <w:left w:w="140" w:type="dxa"/>
              <w:right w:w="140" w:type="dxa"/>
            </w:tcMar>
            <w:vAlign w:val="center"/>
          </w:tcPr>
          <w:p>
            <w:r>
              <w:rPr>
                <w:color w:val="2D3748"/>
                <w:sz w:val="18"/>
              </w:rPr>
              <w:t>FR-1.2</w:t>
            </w:r>
          </w:p>
        </w:tc>
        <w:tc>
          <w:tcPr>
            <w:tcW w:type="dxa" w:w="2592"/>
            <w:shd w:val="clear" w:color="auto" w:fill="FFFFFF"/>
            <w:tcMar>
              <w:top w:w="120" w:type="dxa"/>
              <w:bottom w:w="120" w:type="dxa"/>
              <w:left w:w="140" w:type="dxa"/>
              <w:right w:w="140" w:type="dxa"/>
            </w:tcMar>
            <w:vAlign w:val="center"/>
          </w:tcPr>
          <w:p>
            <w:r>
              <w:rPr>
                <w:color w:val="2D3748"/>
                <w:sz w:val="18"/>
              </w:rPr>
              <w:t>Simulation Speed Scaling</w:t>
            </w:r>
          </w:p>
        </w:tc>
        <w:tc>
          <w:tcPr>
            <w:tcW w:type="dxa" w:w="4896"/>
            <w:shd w:val="clear" w:color="auto" w:fill="FFFFFF"/>
            <w:tcMar>
              <w:top w:w="120" w:type="dxa"/>
              <w:bottom w:w="120" w:type="dxa"/>
              <w:left w:w="140" w:type="dxa"/>
              <w:right w:w="140" w:type="dxa"/>
            </w:tcMar>
            <w:vAlign w:val="center"/>
          </w:tcPr>
          <w:p>
            <w:r>
              <w:rPr>
                <w:color w:val="2D3748"/>
                <w:sz w:val="18"/>
              </w:rPr>
              <w:t>Configurable speed multiplier (1x-120x, burst mode &gt;7,000 events/s).</w:t>
            </w:r>
          </w:p>
        </w:tc>
        <w:tc>
          <w:tcPr>
            <w:tcW w:type="dxa" w:w="1296"/>
            <w:shd w:val="clear" w:color="auto" w:fill="FFFFFF"/>
            <w:tcMar>
              <w:top w:w="120" w:type="dxa"/>
              <w:bottom w:w="120" w:type="dxa"/>
              <w:left w:w="140" w:type="dxa"/>
              <w:right w:w="140" w:type="dxa"/>
            </w:tcMar>
            <w:vAlign w:val="center"/>
          </w:tcPr>
          <w:p>
            <w:r>
              <w:rPr>
                <w:color w:val="2D3748"/>
                <w:sz w:val="18"/>
              </w:rPr>
              <w:t>High</w:t>
            </w:r>
          </w:p>
        </w:tc>
      </w:tr>
      <w:tr>
        <w:tc>
          <w:tcPr>
            <w:tcW w:type="dxa" w:w="1296"/>
            <w:shd w:val="clear" w:color="auto" w:fill="F7FAFC"/>
            <w:tcMar>
              <w:top w:w="120" w:type="dxa"/>
              <w:bottom w:w="120" w:type="dxa"/>
              <w:left w:w="140" w:type="dxa"/>
              <w:right w:w="140" w:type="dxa"/>
            </w:tcMar>
            <w:vAlign w:val="center"/>
          </w:tcPr>
          <w:p>
            <w:r>
              <w:rPr>
                <w:color w:val="2D3748"/>
                <w:sz w:val="18"/>
              </w:rPr>
              <w:t>FR-1.3</w:t>
            </w:r>
          </w:p>
        </w:tc>
        <w:tc>
          <w:tcPr>
            <w:tcW w:type="dxa" w:w="2592"/>
            <w:shd w:val="clear" w:color="auto" w:fill="F7FAFC"/>
            <w:tcMar>
              <w:top w:w="120" w:type="dxa"/>
              <w:bottom w:w="120" w:type="dxa"/>
              <w:left w:w="140" w:type="dxa"/>
              <w:right w:w="140" w:type="dxa"/>
            </w:tcMar>
            <w:vAlign w:val="center"/>
          </w:tcPr>
          <w:p>
            <w:r>
              <w:rPr>
                <w:color w:val="2D3748"/>
                <w:sz w:val="18"/>
              </w:rPr>
              <w:t>Production Gap Handling</w:t>
            </w:r>
          </w:p>
        </w:tc>
        <w:tc>
          <w:tcPr>
            <w:tcW w:type="dxa" w:w="4896"/>
            <w:shd w:val="clear" w:color="auto" w:fill="F7FAFC"/>
            <w:tcMar>
              <w:top w:w="120" w:type="dxa"/>
              <w:bottom w:w="120" w:type="dxa"/>
              <w:left w:w="140" w:type="dxa"/>
              <w:right w:w="140" w:type="dxa"/>
            </w:tcMar>
            <w:vAlign w:val="center"/>
          </w:tcPr>
          <w:p>
            <w:r>
              <w:rPr>
                <w:color w:val="2D3748"/>
                <w:sz w:val="18"/>
              </w:rPr>
              <w:t>Detects line stoppages (Delta t &gt; 0.02 units); fast-forwards idle periods in 5.0s.</w:t>
            </w:r>
          </w:p>
        </w:tc>
        <w:tc>
          <w:tcPr>
            <w:tcW w:type="dxa" w:w="1296"/>
            <w:shd w:val="clear" w:color="auto" w:fill="F7FAFC"/>
            <w:tcMar>
              <w:top w:w="120" w:type="dxa"/>
              <w:bottom w:w="120" w:type="dxa"/>
              <w:left w:w="140" w:type="dxa"/>
              <w:right w:w="140" w:type="dxa"/>
            </w:tcMar>
            <w:vAlign w:val="center"/>
          </w:tcPr>
          <w:p>
            <w:r>
              <w:rPr>
                <w:color w:val="2D3748"/>
                <w:sz w:val="18"/>
              </w:rPr>
              <w:t>Medium</w:t>
            </w:r>
          </w:p>
        </w:tc>
      </w:tr>
      <w:tr>
        <w:tc>
          <w:tcPr>
            <w:tcW w:type="dxa" w:w="1296"/>
            <w:shd w:val="clear" w:color="auto" w:fill="FFFFFF"/>
            <w:tcMar>
              <w:top w:w="120" w:type="dxa"/>
              <w:bottom w:w="120" w:type="dxa"/>
              <w:left w:w="140" w:type="dxa"/>
              <w:right w:w="140" w:type="dxa"/>
            </w:tcMar>
            <w:vAlign w:val="center"/>
          </w:tcPr>
          <w:p>
            <w:r>
              <w:rPr>
                <w:color w:val="2D3748"/>
                <w:sz w:val="18"/>
              </w:rPr>
              <w:t>FR-1.4</w:t>
            </w:r>
          </w:p>
        </w:tc>
        <w:tc>
          <w:tcPr>
            <w:tcW w:type="dxa" w:w="2592"/>
            <w:shd w:val="clear" w:color="auto" w:fill="FFFFFF"/>
            <w:tcMar>
              <w:top w:w="120" w:type="dxa"/>
              <w:bottom w:w="120" w:type="dxa"/>
              <w:left w:w="140" w:type="dxa"/>
              <w:right w:w="140" w:type="dxa"/>
            </w:tcMar>
            <w:vAlign w:val="center"/>
          </w:tcPr>
          <w:p>
            <w:r>
              <w:rPr>
                <w:color w:val="2D3748"/>
                <w:sz w:val="18"/>
              </w:rPr>
              <w:t>ISA-95 Topic Serialization</w:t>
            </w:r>
          </w:p>
        </w:tc>
        <w:tc>
          <w:tcPr>
            <w:tcW w:type="dxa" w:w="4896"/>
            <w:shd w:val="clear" w:color="auto" w:fill="FFFFFF"/>
            <w:tcMar>
              <w:top w:w="120" w:type="dxa"/>
              <w:bottom w:w="120" w:type="dxa"/>
              <w:left w:w="140" w:type="dxa"/>
              <w:right w:w="140" w:type="dxa"/>
            </w:tcMar>
            <w:vAlign w:val="center"/>
          </w:tcPr>
          <w:p>
            <w:r>
              <w:rPr>
                <w:color w:val="2D3748"/>
                <w:sz w:val="18"/>
              </w:rPr>
              <w:t>Publishes JSON StationTelemetryEvent to factory/line3/{station_id}/telemetry via MQTT.</w:t>
            </w:r>
          </w:p>
        </w:tc>
        <w:tc>
          <w:tcPr>
            <w:tcW w:type="dxa" w:w="1296"/>
            <w:shd w:val="clear" w:color="auto" w:fill="FFFFFF"/>
            <w:tcMar>
              <w:top w:w="120" w:type="dxa"/>
              <w:bottom w:w="120" w:type="dxa"/>
              <w:left w:w="140" w:type="dxa"/>
              <w:right w:w="140" w:type="dxa"/>
            </w:tcMar>
            <w:vAlign w:val="center"/>
          </w:tcPr>
          <w:p>
            <w:r>
              <w:rPr>
                <w:color w:val="2D3748"/>
                <w:sz w:val="18"/>
              </w:rPr>
              <w:t>High</w:t>
            </w:r>
          </w:p>
        </w:tc>
      </w:tr>
    </w:tbl>
    <w:p>
      <w:pPr>
        <w:spacing w:before="200"/>
        <w:jc w:val="center"/>
      </w:pPr>
    </w:p>
    <w:p>
      <w:r>
        <w:drawing>
          <wp:inline xmlns:a="http://schemas.openxmlformats.org/drawingml/2006/main" xmlns:pic="http://schemas.openxmlformats.org/drawingml/2006/picture">
            <wp:extent cx="5669280" cy="2164634"/>
            <wp:docPr id="2" name="Picture 2"/>
            <wp:cNvGraphicFramePr>
              <a:graphicFrameLocks noChangeAspect="1"/>
            </wp:cNvGraphicFramePr>
            <a:graphic>
              <a:graphicData uri="http://schemas.openxmlformats.org/drawingml/2006/picture">
                <pic:pic>
                  <pic:nvPicPr>
                    <pic:cNvPr id="0" name="figure2_scenario_timelines.png"/>
                    <pic:cNvPicPr/>
                  </pic:nvPicPr>
                  <pic:blipFill>
                    <a:blip r:embed="rId10"/>
                    <a:stretch>
                      <a:fillRect/>
                    </a:stretch>
                  </pic:blipFill>
                  <pic:spPr>
                    <a:xfrm>
                      <a:off x="0" y="0"/>
                      <a:ext cx="5669280" cy="2164634"/>
                    </a:xfrm>
                    <a:prstGeom prst="rect"/>
                  </pic:spPr>
                </pic:pic>
              </a:graphicData>
            </a:graphic>
          </wp:inline>
        </w:drawing>
      </w:r>
    </w:p>
    <w:p>
      <w:pPr>
        <w:jc w:val="center"/>
      </w:pPr>
      <w:r>
        <w:rPr>
          <w:i/>
          <w:sz w:val="19"/>
        </w:rPr>
        <w:t>Figure 3.1: Leave-Scenario-Out Replay Scenarios on Continuous Production Timeline</w:t>
      </w:r>
    </w:p>
    <w:p>
      <w:pPr>
        <w:pStyle w:val="Heading2"/>
      </w:pPr>
      <w:r>
        <w:t>3.2 Module 2: Edge Analytics, Multi-Factor Health Scoring &amp; AI Inference</w:t>
      </w:r>
    </w:p>
    <w:tbl>
      <w:tblPr>
        <w:tblW w:type="auto" w:w="0"/>
        <w:jc w:val="center"/>
        <w:tblLook w:firstColumn="1" w:firstRow="1" w:lastColumn="0" w:lastRow="0" w:noHBand="0" w:noVBand="1" w:val="04A0"/>
      </w:tblPr>
      <w:tblGrid>
        <w:gridCol w:w="2340"/>
        <w:gridCol w:w="2340"/>
        <w:gridCol w:w="2340"/>
        <w:gridCol w:w="2340"/>
      </w:tblGrid>
      <w:tr>
        <w:tc>
          <w:tcPr>
            <w:tcW w:type="dxa" w:w="1296"/>
            <w:shd w:val="clear" w:color="auto" w:fill="2B6CB0"/>
            <w:tcMar>
              <w:top w:w="120" w:type="dxa"/>
              <w:bottom w:w="120" w:type="dxa"/>
              <w:left w:w="140" w:type="dxa"/>
              <w:right w:w="140" w:type="dxa"/>
            </w:tcMar>
            <w:vAlign w:val="center"/>
          </w:tcPr>
          <w:p>
            <w:pPr>
              <w:jc w:val="center"/>
            </w:pPr>
            <w:r>
              <w:rPr>
                <w:b/>
                <w:color w:val="FFFFFF"/>
                <w:sz w:val="19"/>
              </w:rPr>
              <w:t>Req ID</w:t>
            </w:r>
          </w:p>
        </w:tc>
        <w:tc>
          <w:tcPr>
            <w:tcW w:type="dxa" w:w="2592"/>
            <w:shd w:val="clear" w:color="auto" w:fill="2B6CB0"/>
            <w:tcMar>
              <w:top w:w="120" w:type="dxa"/>
              <w:bottom w:w="120" w:type="dxa"/>
              <w:left w:w="140" w:type="dxa"/>
              <w:right w:w="140" w:type="dxa"/>
            </w:tcMar>
            <w:vAlign w:val="center"/>
          </w:tcPr>
          <w:p>
            <w:pPr>
              <w:jc w:val="center"/>
            </w:pPr>
            <w:r>
              <w:rPr>
                <w:b/>
                <w:color w:val="FFFFFF"/>
                <w:sz w:val="19"/>
              </w:rPr>
              <w:t>Feature Description</w:t>
            </w:r>
          </w:p>
        </w:tc>
        <w:tc>
          <w:tcPr>
            <w:tcW w:type="dxa" w:w="4896"/>
            <w:shd w:val="clear" w:color="auto" w:fill="2B6CB0"/>
            <w:tcMar>
              <w:top w:w="120" w:type="dxa"/>
              <w:bottom w:w="120" w:type="dxa"/>
              <w:left w:w="140" w:type="dxa"/>
              <w:right w:w="140" w:type="dxa"/>
            </w:tcMar>
            <w:vAlign w:val="center"/>
          </w:tcPr>
          <w:p>
            <w:pPr>
              <w:jc w:val="center"/>
            </w:pPr>
            <w:r>
              <w:rPr>
                <w:b/>
                <w:color w:val="FFFFFF"/>
                <w:sz w:val="19"/>
              </w:rPr>
              <w:t>Input / Validation Rule</w:t>
            </w:r>
          </w:p>
        </w:tc>
        <w:tc>
          <w:tcPr>
            <w:tcW w:type="dxa" w:w="1296"/>
            <w:shd w:val="clear" w:color="auto" w:fill="2B6CB0"/>
            <w:tcMar>
              <w:top w:w="120" w:type="dxa"/>
              <w:bottom w:w="120" w:type="dxa"/>
              <w:left w:w="140" w:type="dxa"/>
              <w:right w:w="140" w:type="dxa"/>
            </w:tcMar>
            <w:vAlign w:val="center"/>
          </w:tcPr>
          <w:p>
            <w:pPr>
              <w:jc w:val="center"/>
            </w:pPr>
            <w:r>
              <w:rPr>
                <w:b/>
                <w:color w:val="FFFFFF"/>
                <w:sz w:val="19"/>
              </w:rPr>
              <w:t>Priority</w:t>
            </w:r>
          </w:p>
        </w:tc>
      </w:tr>
      <w:tr>
        <w:tc>
          <w:tcPr>
            <w:tcW w:type="dxa" w:w="1296"/>
            <w:shd w:val="clear" w:color="auto" w:fill="F7FAFC"/>
            <w:tcMar>
              <w:top w:w="120" w:type="dxa"/>
              <w:bottom w:w="120" w:type="dxa"/>
              <w:left w:w="140" w:type="dxa"/>
              <w:right w:w="140" w:type="dxa"/>
            </w:tcMar>
            <w:vAlign w:val="center"/>
          </w:tcPr>
          <w:p>
            <w:r>
              <w:rPr>
                <w:color w:val="2D3748"/>
                <w:sz w:val="18"/>
              </w:rPr>
              <w:t>FR-2.1</w:t>
            </w:r>
          </w:p>
        </w:tc>
        <w:tc>
          <w:tcPr>
            <w:tcW w:type="dxa" w:w="2592"/>
            <w:shd w:val="clear" w:color="auto" w:fill="F7FAFC"/>
            <w:tcMar>
              <w:top w:w="120" w:type="dxa"/>
              <w:bottom w:w="120" w:type="dxa"/>
              <w:left w:w="140" w:type="dxa"/>
              <w:right w:w="140" w:type="dxa"/>
            </w:tcMar>
            <w:vAlign w:val="center"/>
          </w:tcPr>
          <w:p>
            <w:r>
              <w:rPr>
                <w:color w:val="2D3748"/>
                <w:sz w:val="18"/>
              </w:rPr>
              <w:t>Baseline Normalization</w:t>
            </w:r>
          </w:p>
        </w:tc>
        <w:tc>
          <w:tcPr>
            <w:tcW w:type="dxa" w:w="4896"/>
            <w:shd w:val="clear" w:color="auto" w:fill="F7FAFC"/>
            <w:tcMar>
              <w:top w:w="120" w:type="dxa"/>
              <w:bottom w:w="120" w:type="dxa"/>
              <w:left w:w="140" w:type="dxa"/>
              <w:right w:w="140" w:type="dxa"/>
            </w:tcMar>
            <w:vAlign w:val="center"/>
          </w:tcPr>
          <w:p>
            <w:r>
              <w:rPr>
                <w:color w:val="2D3748"/>
                <w:sz w:val="18"/>
              </w:rPr>
              <w:t>Loads 39 feature distributions; computes sensor Z-scores (Z = (x - mean)/std).</w:t>
            </w:r>
          </w:p>
        </w:tc>
        <w:tc>
          <w:tcPr>
            <w:tcW w:type="dxa" w:w="1296"/>
            <w:shd w:val="clear" w:color="auto" w:fill="F7FAFC"/>
            <w:tcMar>
              <w:top w:w="120" w:type="dxa"/>
              <w:bottom w:w="120" w:type="dxa"/>
              <w:left w:w="140" w:type="dxa"/>
              <w:right w:w="140" w:type="dxa"/>
            </w:tcMar>
            <w:vAlign w:val="center"/>
          </w:tcPr>
          <w:p>
            <w:r>
              <w:rPr>
                <w:color w:val="2D3748"/>
                <w:sz w:val="18"/>
              </w:rPr>
              <w:t>High</w:t>
            </w:r>
          </w:p>
        </w:tc>
      </w:tr>
      <w:tr>
        <w:tc>
          <w:tcPr>
            <w:tcW w:type="dxa" w:w="1296"/>
            <w:shd w:val="clear" w:color="auto" w:fill="FFFFFF"/>
            <w:tcMar>
              <w:top w:w="120" w:type="dxa"/>
              <w:bottom w:w="120" w:type="dxa"/>
              <w:left w:w="140" w:type="dxa"/>
              <w:right w:w="140" w:type="dxa"/>
            </w:tcMar>
            <w:vAlign w:val="center"/>
          </w:tcPr>
          <w:p>
            <w:r>
              <w:rPr>
                <w:color w:val="2D3748"/>
                <w:sz w:val="18"/>
              </w:rPr>
              <w:t>FR-2.2</w:t>
            </w:r>
          </w:p>
        </w:tc>
        <w:tc>
          <w:tcPr>
            <w:tcW w:type="dxa" w:w="2592"/>
            <w:shd w:val="clear" w:color="auto" w:fill="FFFFFF"/>
            <w:tcMar>
              <w:top w:w="120" w:type="dxa"/>
              <w:bottom w:w="120" w:type="dxa"/>
              <w:left w:w="140" w:type="dxa"/>
              <w:right w:w="140" w:type="dxa"/>
            </w:tcMar>
            <w:vAlign w:val="center"/>
          </w:tcPr>
          <w:p>
            <w:r>
              <w:rPr>
                <w:color w:val="2D3748"/>
                <w:sz w:val="18"/>
              </w:rPr>
              <w:t>Composite Health Scoring</w:t>
            </w:r>
          </w:p>
        </w:tc>
        <w:tc>
          <w:tcPr>
            <w:tcW w:type="dxa" w:w="4896"/>
            <w:shd w:val="clear" w:color="auto" w:fill="FFFFFF"/>
            <w:tcMar>
              <w:top w:w="120" w:type="dxa"/>
              <w:bottom w:w="120" w:type="dxa"/>
              <w:left w:w="140" w:type="dxa"/>
              <w:right w:w="140" w:type="dxa"/>
            </w:tcMar>
            <w:vAlign w:val="center"/>
          </w:tcPr>
          <w:p>
            <w:r>
              <w:rPr>
                <w:color w:val="2D3748"/>
                <w:sz w:val="18"/>
              </w:rPr>
              <w:t>Computes Hs = 100 - (0.45*Drift + 0.30*Pacing + 0.25*Defect) bounded in [0, 100].</w:t>
            </w:r>
          </w:p>
        </w:tc>
        <w:tc>
          <w:tcPr>
            <w:tcW w:type="dxa" w:w="1296"/>
            <w:shd w:val="clear" w:color="auto" w:fill="FFFFFF"/>
            <w:tcMar>
              <w:top w:w="120" w:type="dxa"/>
              <w:bottom w:w="120" w:type="dxa"/>
              <w:left w:w="140" w:type="dxa"/>
              <w:right w:w="140" w:type="dxa"/>
            </w:tcMar>
            <w:vAlign w:val="center"/>
          </w:tcPr>
          <w:p>
            <w:r>
              <w:rPr>
                <w:color w:val="2D3748"/>
                <w:sz w:val="18"/>
              </w:rPr>
              <w:t>High</w:t>
            </w:r>
          </w:p>
        </w:tc>
      </w:tr>
      <w:tr>
        <w:tc>
          <w:tcPr>
            <w:tcW w:type="dxa" w:w="1296"/>
            <w:shd w:val="clear" w:color="auto" w:fill="F7FAFC"/>
            <w:tcMar>
              <w:top w:w="120" w:type="dxa"/>
              <w:bottom w:w="120" w:type="dxa"/>
              <w:left w:w="140" w:type="dxa"/>
              <w:right w:w="140" w:type="dxa"/>
            </w:tcMar>
            <w:vAlign w:val="center"/>
          </w:tcPr>
          <w:p>
            <w:r>
              <w:rPr>
                <w:color w:val="2D3748"/>
                <w:sz w:val="18"/>
              </w:rPr>
              <w:t>FR-2.3</w:t>
            </w:r>
          </w:p>
        </w:tc>
        <w:tc>
          <w:tcPr>
            <w:tcW w:type="dxa" w:w="2592"/>
            <w:shd w:val="clear" w:color="auto" w:fill="F7FAFC"/>
            <w:tcMar>
              <w:top w:w="120" w:type="dxa"/>
              <w:bottom w:w="120" w:type="dxa"/>
              <w:left w:w="140" w:type="dxa"/>
              <w:right w:w="140" w:type="dxa"/>
            </w:tcMar>
            <w:vAlign w:val="center"/>
          </w:tcPr>
          <w:p>
            <w:r>
              <w:rPr>
                <w:color w:val="2D3748"/>
                <w:sz w:val="18"/>
              </w:rPr>
              <w:t>PyTorch Defect MLP</w:t>
            </w:r>
          </w:p>
        </w:tc>
        <w:tc>
          <w:tcPr>
            <w:tcW w:type="dxa" w:w="4896"/>
            <w:shd w:val="clear" w:color="auto" w:fill="F7FAFC"/>
            <w:tcMar>
              <w:top w:w="120" w:type="dxa"/>
              <w:bottom w:w="120" w:type="dxa"/>
              <w:left w:w="140" w:type="dxa"/>
              <w:right w:w="140" w:type="dxa"/>
            </w:tcMar>
            <w:vAlign w:val="center"/>
          </w:tcPr>
          <w:p>
            <w:r>
              <w:rPr>
                <w:color w:val="2D3748"/>
                <w:sz w:val="18"/>
              </w:rPr>
              <w:t>2-layer MLP (128-&gt;64) evaluates 85 features at S34 fork before physical entry to S35/S36.</w:t>
            </w:r>
          </w:p>
        </w:tc>
        <w:tc>
          <w:tcPr>
            <w:tcW w:type="dxa" w:w="1296"/>
            <w:shd w:val="clear" w:color="auto" w:fill="F7FAFC"/>
            <w:tcMar>
              <w:top w:w="120" w:type="dxa"/>
              <w:bottom w:w="120" w:type="dxa"/>
              <w:left w:w="140" w:type="dxa"/>
              <w:right w:w="140" w:type="dxa"/>
            </w:tcMar>
            <w:vAlign w:val="center"/>
          </w:tcPr>
          <w:p>
            <w:r>
              <w:rPr>
                <w:color w:val="2D3748"/>
                <w:sz w:val="18"/>
              </w:rPr>
              <w:t>High</w:t>
            </w:r>
          </w:p>
        </w:tc>
      </w:tr>
      <w:tr>
        <w:tc>
          <w:tcPr>
            <w:tcW w:type="dxa" w:w="1296"/>
            <w:shd w:val="clear" w:color="auto" w:fill="FFFFFF"/>
            <w:tcMar>
              <w:top w:w="120" w:type="dxa"/>
              <w:bottom w:w="120" w:type="dxa"/>
              <w:left w:w="140" w:type="dxa"/>
              <w:right w:w="140" w:type="dxa"/>
            </w:tcMar>
            <w:vAlign w:val="center"/>
          </w:tcPr>
          <w:p>
            <w:r>
              <w:rPr>
                <w:color w:val="2D3748"/>
                <w:sz w:val="18"/>
              </w:rPr>
              <w:t>FR-2.4</w:t>
            </w:r>
          </w:p>
        </w:tc>
        <w:tc>
          <w:tcPr>
            <w:tcW w:type="dxa" w:w="2592"/>
            <w:shd w:val="clear" w:color="auto" w:fill="FFFFFF"/>
            <w:tcMar>
              <w:top w:w="120" w:type="dxa"/>
              <w:bottom w:w="120" w:type="dxa"/>
              <w:left w:w="140" w:type="dxa"/>
              <w:right w:w="140" w:type="dxa"/>
            </w:tcMar>
            <w:vAlign w:val="center"/>
          </w:tcPr>
          <w:p>
            <w:r>
              <w:rPr>
                <w:color w:val="2D3748"/>
                <w:sz w:val="18"/>
              </w:rPr>
              <w:t>Platt Calibration</w:t>
            </w:r>
          </w:p>
        </w:tc>
        <w:tc>
          <w:tcPr>
            <w:tcW w:type="dxa" w:w="4896"/>
            <w:shd w:val="clear" w:color="auto" w:fill="FFFFFF"/>
            <w:tcMar>
              <w:top w:w="120" w:type="dxa"/>
              <w:bottom w:w="120" w:type="dxa"/>
              <w:left w:w="140" w:type="dxa"/>
              <w:right w:w="140" w:type="dxa"/>
            </w:tcMar>
            <w:vAlign w:val="center"/>
          </w:tcPr>
          <w:p>
            <w:r>
              <w:rPr>
                <w:color w:val="2D3748"/>
                <w:sz w:val="18"/>
              </w:rPr>
              <w:t>Calibrates raw neural logits into true Bayesian probabilities matching 0.51% base rate.</w:t>
            </w:r>
          </w:p>
        </w:tc>
        <w:tc>
          <w:tcPr>
            <w:tcW w:type="dxa" w:w="1296"/>
            <w:shd w:val="clear" w:color="auto" w:fill="FFFFFF"/>
            <w:tcMar>
              <w:top w:w="120" w:type="dxa"/>
              <w:bottom w:w="120" w:type="dxa"/>
              <w:left w:w="140" w:type="dxa"/>
              <w:right w:w="140" w:type="dxa"/>
            </w:tcMar>
            <w:vAlign w:val="center"/>
          </w:tcPr>
          <w:p>
            <w:r>
              <w:rPr>
                <w:color w:val="2D3748"/>
                <w:sz w:val="18"/>
              </w:rPr>
              <w:t>High</w:t>
            </w:r>
          </w:p>
        </w:tc>
      </w:tr>
      <w:tr>
        <w:tc>
          <w:tcPr>
            <w:tcW w:type="dxa" w:w="1296"/>
            <w:shd w:val="clear" w:color="auto" w:fill="F7FAFC"/>
            <w:tcMar>
              <w:top w:w="120" w:type="dxa"/>
              <w:bottom w:w="120" w:type="dxa"/>
              <w:left w:w="140" w:type="dxa"/>
              <w:right w:w="140" w:type="dxa"/>
            </w:tcMar>
            <w:vAlign w:val="center"/>
          </w:tcPr>
          <w:p>
            <w:r>
              <w:rPr>
                <w:color w:val="2D3748"/>
                <w:sz w:val="18"/>
              </w:rPr>
              <w:t>FR-2.5</w:t>
            </w:r>
          </w:p>
        </w:tc>
        <w:tc>
          <w:tcPr>
            <w:tcW w:type="dxa" w:w="2592"/>
            <w:shd w:val="clear" w:color="auto" w:fill="F7FAFC"/>
            <w:tcMar>
              <w:top w:w="120" w:type="dxa"/>
              <w:bottom w:w="120" w:type="dxa"/>
              <w:left w:w="140" w:type="dxa"/>
              <w:right w:w="140" w:type="dxa"/>
            </w:tcMar>
            <w:vAlign w:val="center"/>
          </w:tcPr>
          <w:p>
            <w:r>
              <w:rPr>
                <w:color w:val="2D3748"/>
                <w:sz w:val="18"/>
              </w:rPr>
              <w:t>LSTM Autoencoder Anomaly</w:t>
            </w:r>
          </w:p>
        </w:tc>
        <w:tc>
          <w:tcPr>
            <w:tcW w:type="dxa" w:w="4896"/>
            <w:shd w:val="clear" w:color="auto" w:fill="F7FAFC"/>
            <w:tcMar>
              <w:top w:w="120" w:type="dxa"/>
              <w:bottom w:w="120" w:type="dxa"/>
              <w:left w:w="140" w:type="dxa"/>
              <w:right w:w="140" w:type="dxa"/>
            </w:tcMar>
            <w:vAlign w:val="center"/>
          </w:tcPr>
          <w:p>
            <w:r>
              <w:rPr>
                <w:color w:val="2D3748"/>
                <w:sz w:val="18"/>
              </w:rPr>
              <w:t>1-layer LSTM autoencoder models 24h multivariate sequences; flags errors &gt; p99.</w:t>
            </w:r>
          </w:p>
        </w:tc>
        <w:tc>
          <w:tcPr>
            <w:tcW w:type="dxa" w:w="1296"/>
            <w:shd w:val="clear" w:color="auto" w:fill="F7FAFC"/>
            <w:tcMar>
              <w:top w:w="120" w:type="dxa"/>
              <w:bottom w:w="120" w:type="dxa"/>
              <w:left w:w="140" w:type="dxa"/>
              <w:right w:w="140" w:type="dxa"/>
            </w:tcMar>
            <w:vAlign w:val="center"/>
          </w:tcPr>
          <w:p>
            <w:r>
              <w:rPr>
                <w:color w:val="2D3748"/>
                <w:sz w:val="18"/>
              </w:rPr>
              <w:t>Medium</w:t>
            </w:r>
          </w:p>
        </w:tc>
      </w:tr>
    </w:tbl>
    <w:p>
      <w:pPr>
        <w:spacing w:before="200"/>
        <w:jc w:val="center"/>
      </w:pP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figure3_lead_time_comparison.png"/>
                    <pic:cNvPicPr/>
                  </pic:nvPicPr>
                  <pic:blipFill>
                    <a:blip r:embed="rId11"/>
                    <a:stretch>
                      <a:fillRect/>
                    </a:stretch>
                  </pic:blipFill>
                  <pic:spPr>
                    <a:xfrm>
                      <a:off x="0" y="0"/>
                      <a:ext cx="5303520" cy="2651760"/>
                    </a:xfrm>
                    <a:prstGeom prst="rect"/>
                  </pic:spPr>
                </pic:pic>
              </a:graphicData>
            </a:graphic>
          </wp:inline>
        </w:drawing>
      </w:r>
    </w:p>
    <w:p>
      <w:pPr>
        <w:jc w:val="center"/>
      </w:pPr>
      <w:r>
        <w:rPr>
          <w:i/>
          <w:sz w:val="19"/>
        </w:rPr>
        <w:t>Figure 3.2: Operational Lead Time Comparison: Proactive In-Line AI vs Lagging Exit QC</w:t>
      </w:r>
    </w:p>
    <w:p>
      <w:pPr>
        <w:pStyle w:val="Heading2"/>
      </w:pPr>
      <w:r>
        <w:t>3.3 Module 3: Time-Series Storage, Alerting, Visualization &amp; Control</w:t>
      </w:r>
    </w:p>
    <w:tbl>
      <w:tblPr>
        <w:tblW w:type="auto" w:w="0"/>
        <w:jc w:val="center"/>
        <w:tblLook w:firstColumn="1" w:firstRow="1" w:lastColumn="0" w:lastRow="0" w:noHBand="0" w:noVBand="1" w:val="04A0"/>
      </w:tblPr>
      <w:tblGrid>
        <w:gridCol w:w="2340"/>
        <w:gridCol w:w="2340"/>
        <w:gridCol w:w="2340"/>
        <w:gridCol w:w="2340"/>
      </w:tblGrid>
      <w:tr>
        <w:tc>
          <w:tcPr>
            <w:tcW w:type="dxa" w:w="1296"/>
            <w:shd w:val="clear" w:color="auto" w:fill="2B6CB0"/>
            <w:tcMar>
              <w:top w:w="120" w:type="dxa"/>
              <w:bottom w:w="120" w:type="dxa"/>
              <w:left w:w="140" w:type="dxa"/>
              <w:right w:w="140" w:type="dxa"/>
            </w:tcMar>
            <w:vAlign w:val="center"/>
          </w:tcPr>
          <w:p>
            <w:pPr>
              <w:jc w:val="center"/>
            </w:pPr>
            <w:r>
              <w:rPr>
                <w:b/>
                <w:color w:val="FFFFFF"/>
                <w:sz w:val="19"/>
              </w:rPr>
              <w:t>Req ID</w:t>
            </w:r>
          </w:p>
        </w:tc>
        <w:tc>
          <w:tcPr>
            <w:tcW w:type="dxa" w:w="2592"/>
            <w:shd w:val="clear" w:color="auto" w:fill="2B6CB0"/>
            <w:tcMar>
              <w:top w:w="120" w:type="dxa"/>
              <w:bottom w:w="120" w:type="dxa"/>
              <w:left w:w="140" w:type="dxa"/>
              <w:right w:w="140" w:type="dxa"/>
            </w:tcMar>
            <w:vAlign w:val="center"/>
          </w:tcPr>
          <w:p>
            <w:pPr>
              <w:jc w:val="center"/>
            </w:pPr>
            <w:r>
              <w:rPr>
                <w:b/>
                <w:color w:val="FFFFFF"/>
                <w:sz w:val="19"/>
              </w:rPr>
              <w:t>Feature Description</w:t>
            </w:r>
          </w:p>
        </w:tc>
        <w:tc>
          <w:tcPr>
            <w:tcW w:type="dxa" w:w="4896"/>
            <w:shd w:val="clear" w:color="auto" w:fill="2B6CB0"/>
            <w:tcMar>
              <w:top w:w="120" w:type="dxa"/>
              <w:bottom w:w="120" w:type="dxa"/>
              <w:left w:w="140" w:type="dxa"/>
              <w:right w:w="140" w:type="dxa"/>
            </w:tcMar>
            <w:vAlign w:val="center"/>
          </w:tcPr>
          <w:p>
            <w:pPr>
              <w:jc w:val="center"/>
            </w:pPr>
            <w:r>
              <w:rPr>
                <w:b/>
                <w:color w:val="FFFFFF"/>
                <w:sz w:val="19"/>
              </w:rPr>
              <w:t>Input / Validation Rule</w:t>
            </w:r>
          </w:p>
        </w:tc>
        <w:tc>
          <w:tcPr>
            <w:tcW w:type="dxa" w:w="1296"/>
            <w:shd w:val="clear" w:color="auto" w:fill="2B6CB0"/>
            <w:tcMar>
              <w:top w:w="120" w:type="dxa"/>
              <w:bottom w:w="120" w:type="dxa"/>
              <w:left w:w="140" w:type="dxa"/>
              <w:right w:w="140" w:type="dxa"/>
            </w:tcMar>
            <w:vAlign w:val="center"/>
          </w:tcPr>
          <w:p>
            <w:pPr>
              <w:jc w:val="center"/>
            </w:pPr>
            <w:r>
              <w:rPr>
                <w:b/>
                <w:color w:val="FFFFFF"/>
                <w:sz w:val="19"/>
              </w:rPr>
              <w:t>Priority</w:t>
            </w:r>
          </w:p>
        </w:tc>
      </w:tr>
      <w:tr>
        <w:tc>
          <w:tcPr>
            <w:tcW w:type="dxa" w:w="1296"/>
            <w:shd w:val="clear" w:color="auto" w:fill="F7FAFC"/>
            <w:tcMar>
              <w:top w:w="120" w:type="dxa"/>
              <w:bottom w:w="120" w:type="dxa"/>
              <w:left w:w="140" w:type="dxa"/>
              <w:right w:w="140" w:type="dxa"/>
            </w:tcMar>
            <w:vAlign w:val="center"/>
          </w:tcPr>
          <w:p>
            <w:r>
              <w:rPr>
                <w:color w:val="2D3748"/>
                <w:sz w:val="18"/>
              </w:rPr>
              <w:t>FR-3.1</w:t>
            </w:r>
          </w:p>
        </w:tc>
        <w:tc>
          <w:tcPr>
            <w:tcW w:type="dxa" w:w="2592"/>
            <w:shd w:val="clear" w:color="auto" w:fill="F7FAFC"/>
            <w:tcMar>
              <w:top w:w="120" w:type="dxa"/>
              <w:bottom w:w="120" w:type="dxa"/>
              <w:left w:w="140" w:type="dxa"/>
              <w:right w:w="140" w:type="dxa"/>
            </w:tcMar>
            <w:vAlign w:val="center"/>
          </w:tcPr>
          <w:p>
            <w:r>
              <w:rPr>
                <w:color w:val="2D3748"/>
                <w:sz w:val="18"/>
              </w:rPr>
              <w:t>Time-Series Persistence</w:t>
            </w:r>
          </w:p>
        </w:tc>
        <w:tc>
          <w:tcPr>
            <w:tcW w:type="dxa" w:w="4896"/>
            <w:shd w:val="clear" w:color="auto" w:fill="F7FAFC"/>
            <w:tcMar>
              <w:top w:w="120" w:type="dxa"/>
              <w:bottom w:w="120" w:type="dxa"/>
              <w:left w:w="140" w:type="dxa"/>
              <w:right w:w="140" w:type="dxa"/>
            </w:tcMar>
            <w:vAlign w:val="center"/>
          </w:tcPr>
          <w:p>
            <w:r>
              <w:rPr>
                <w:color w:val="2D3748"/>
                <w:sz w:val="18"/>
              </w:rPr>
              <w:t>Consumes MQTT events; commits Line Protocol points in batches of 50 to InfluxDB v2.</w:t>
            </w:r>
          </w:p>
        </w:tc>
        <w:tc>
          <w:tcPr>
            <w:tcW w:type="dxa" w:w="1296"/>
            <w:shd w:val="clear" w:color="auto" w:fill="F7FAFC"/>
            <w:tcMar>
              <w:top w:w="120" w:type="dxa"/>
              <w:bottom w:w="120" w:type="dxa"/>
              <w:left w:w="140" w:type="dxa"/>
              <w:right w:w="140" w:type="dxa"/>
            </w:tcMar>
            <w:vAlign w:val="center"/>
          </w:tcPr>
          <w:p>
            <w:r>
              <w:rPr>
                <w:color w:val="2D3748"/>
                <w:sz w:val="18"/>
              </w:rPr>
              <w:t>High</w:t>
            </w:r>
          </w:p>
        </w:tc>
      </w:tr>
      <w:tr>
        <w:tc>
          <w:tcPr>
            <w:tcW w:type="dxa" w:w="1296"/>
            <w:shd w:val="clear" w:color="auto" w:fill="FFFFFF"/>
            <w:tcMar>
              <w:top w:w="120" w:type="dxa"/>
              <w:bottom w:w="120" w:type="dxa"/>
              <w:left w:w="140" w:type="dxa"/>
              <w:right w:w="140" w:type="dxa"/>
            </w:tcMar>
            <w:vAlign w:val="center"/>
          </w:tcPr>
          <w:p>
            <w:r>
              <w:rPr>
                <w:color w:val="2D3748"/>
                <w:sz w:val="18"/>
              </w:rPr>
              <w:t>FR-3.2</w:t>
            </w:r>
          </w:p>
        </w:tc>
        <w:tc>
          <w:tcPr>
            <w:tcW w:type="dxa" w:w="2592"/>
            <w:shd w:val="clear" w:color="auto" w:fill="FFFFFF"/>
            <w:tcMar>
              <w:top w:w="120" w:type="dxa"/>
              <w:bottom w:w="120" w:type="dxa"/>
              <w:left w:w="140" w:type="dxa"/>
              <w:right w:w="140" w:type="dxa"/>
            </w:tcMar>
            <w:vAlign w:val="center"/>
          </w:tcPr>
          <w:p>
            <w:r>
              <w:rPr>
                <w:color w:val="2D3748"/>
                <w:sz w:val="18"/>
              </w:rPr>
              <w:t>Grafana Dashboards</w:t>
            </w:r>
          </w:p>
        </w:tc>
        <w:tc>
          <w:tcPr>
            <w:tcW w:type="dxa" w:w="4896"/>
            <w:shd w:val="clear" w:color="auto" w:fill="FFFFFF"/>
            <w:tcMar>
              <w:top w:w="120" w:type="dxa"/>
              <w:bottom w:w="120" w:type="dxa"/>
              <w:left w:w="140" w:type="dxa"/>
              <w:right w:w="140" w:type="dxa"/>
            </w:tcMar>
            <w:vAlign w:val="center"/>
          </w:tcPr>
          <w:p>
            <w:r>
              <w:rPr>
                <w:color w:val="2D3748"/>
                <w:sz w:val="18"/>
              </w:rPr>
              <w:t>Provisioned dashboards: Line Overview, Station Detail, Parts &amp; Risk, AI Insights.</w:t>
            </w:r>
          </w:p>
        </w:tc>
        <w:tc>
          <w:tcPr>
            <w:tcW w:type="dxa" w:w="1296"/>
            <w:shd w:val="clear" w:color="auto" w:fill="FFFFFF"/>
            <w:tcMar>
              <w:top w:w="120" w:type="dxa"/>
              <w:bottom w:w="120" w:type="dxa"/>
              <w:left w:w="140" w:type="dxa"/>
              <w:right w:w="140" w:type="dxa"/>
            </w:tcMar>
            <w:vAlign w:val="center"/>
          </w:tcPr>
          <w:p>
            <w:r>
              <w:rPr>
                <w:color w:val="2D3748"/>
                <w:sz w:val="18"/>
              </w:rPr>
              <w:t>High</w:t>
            </w:r>
          </w:p>
        </w:tc>
      </w:tr>
      <w:tr>
        <w:tc>
          <w:tcPr>
            <w:tcW w:type="dxa" w:w="1296"/>
            <w:shd w:val="clear" w:color="auto" w:fill="F7FAFC"/>
            <w:tcMar>
              <w:top w:w="120" w:type="dxa"/>
              <w:bottom w:w="120" w:type="dxa"/>
              <w:left w:w="140" w:type="dxa"/>
              <w:right w:w="140" w:type="dxa"/>
            </w:tcMar>
            <w:vAlign w:val="center"/>
          </w:tcPr>
          <w:p>
            <w:r>
              <w:rPr>
                <w:color w:val="2D3748"/>
                <w:sz w:val="18"/>
              </w:rPr>
              <w:t>FR-3.3</w:t>
            </w:r>
          </w:p>
        </w:tc>
        <w:tc>
          <w:tcPr>
            <w:tcW w:type="dxa" w:w="2592"/>
            <w:shd w:val="clear" w:color="auto" w:fill="F7FAFC"/>
            <w:tcMar>
              <w:top w:w="120" w:type="dxa"/>
              <w:bottom w:w="120" w:type="dxa"/>
              <w:left w:w="140" w:type="dxa"/>
              <w:right w:w="140" w:type="dxa"/>
            </w:tcMar>
            <w:vAlign w:val="center"/>
          </w:tcPr>
          <w:p>
            <w:r>
              <w:rPr>
                <w:color w:val="2D3748"/>
                <w:sz w:val="18"/>
              </w:rPr>
              <w:t>Declarative Alerting</w:t>
            </w:r>
          </w:p>
        </w:tc>
        <w:tc>
          <w:tcPr>
            <w:tcW w:type="dxa" w:w="4896"/>
            <w:shd w:val="clear" w:color="auto" w:fill="F7FAFC"/>
            <w:tcMar>
              <w:top w:w="120" w:type="dxa"/>
              <w:bottom w:w="120" w:type="dxa"/>
              <w:left w:w="140" w:type="dxa"/>
              <w:right w:w="140" w:type="dxa"/>
            </w:tcMar>
            <w:vAlign w:val="center"/>
          </w:tcPr>
          <w:p>
            <w:r>
              <w:rPr>
                <w:color w:val="2D3748"/>
                <w:sz w:val="18"/>
              </w:rPr>
              <w:t>YAML rules trigger on high-risk part surges, station starvation, and LSTM anomaly spikes.</w:t>
            </w:r>
          </w:p>
        </w:tc>
        <w:tc>
          <w:tcPr>
            <w:tcW w:type="dxa" w:w="1296"/>
            <w:shd w:val="clear" w:color="auto" w:fill="F7FAFC"/>
            <w:tcMar>
              <w:top w:w="120" w:type="dxa"/>
              <w:bottom w:w="120" w:type="dxa"/>
              <w:left w:w="140" w:type="dxa"/>
              <w:right w:w="140" w:type="dxa"/>
            </w:tcMar>
            <w:vAlign w:val="center"/>
          </w:tcPr>
          <w:p>
            <w:r>
              <w:rPr>
                <w:color w:val="2D3748"/>
                <w:sz w:val="18"/>
              </w:rPr>
              <w:t>High</w:t>
            </w:r>
          </w:p>
        </w:tc>
      </w:tr>
      <w:tr>
        <w:tc>
          <w:tcPr>
            <w:tcW w:type="dxa" w:w="1296"/>
            <w:shd w:val="clear" w:color="auto" w:fill="FFFFFF"/>
            <w:tcMar>
              <w:top w:w="120" w:type="dxa"/>
              <w:bottom w:w="120" w:type="dxa"/>
              <w:left w:w="140" w:type="dxa"/>
              <w:right w:w="140" w:type="dxa"/>
            </w:tcMar>
            <w:vAlign w:val="center"/>
          </w:tcPr>
          <w:p>
            <w:r>
              <w:rPr>
                <w:color w:val="2D3748"/>
                <w:sz w:val="18"/>
              </w:rPr>
              <w:t>FR-3.4</w:t>
            </w:r>
          </w:p>
        </w:tc>
        <w:tc>
          <w:tcPr>
            <w:tcW w:type="dxa" w:w="2592"/>
            <w:shd w:val="clear" w:color="auto" w:fill="FFFFFF"/>
            <w:tcMar>
              <w:top w:w="120" w:type="dxa"/>
              <w:bottom w:w="120" w:type="dxa"/>
              <w:left w:w="140" w:type="dxa"/>
              <w:right w:w="140" w:type="dxa"/>
            </w:tcMar>
            <w:vAlign w:val="center"/>
          </w:tcPr>
          <w:p>
            <w:r>
              <w:rPr>
                <w:color w:val="2D3748"/>
                <w:sz w:val="18"/>
              </w:rPr>
              <w:t>Unified Demo Orchestrator</w:t>
            </w:r>
          </w:p>
        </w:tc>
        <w:tc>
          <w:tcPr>
            <w:tcW w:type="dxa" w:w="4896"/>
            <w:shd w:val="clear" w:color="auto" w:fill="FFFFFF"/>
            <w:tcMar>
              <w:top w:w="120" w:type="dxa"/>
              <w:bottom w:w="120" w:type="dxa"/>
              <w:left w:w="140" w:type="dxa"/>
              <w:right w:w="140" w:type="dxa"/>
            </w:tcMar>
            <w:vAlign w:val="center"/>
          </w:tcPr>
          <w:p>
            <w:r>
              <w:rPr>
                <w:color w:val="2D3748"/>
                <w:sz w:val="18"/>
              </w:rPr>
              <w:t>PowerShell script (demo.ps1) manages Docker, background daemons, and scenario replay.</w:t>
            </w:r>
          </w:p>
        </w:tc>
        <w:tc>
          <w:tcPr>
            <w:tcW w:type="dxa" w:w="1296"/>
            <w:shd w:val="clear" w:color="auto" w:fill="FFFFFF"/>
            <w:tcMar>
              <w:top w:w="120" w:type="dxa"/>
              <w:bottom w:w="120" w:type="dxa"/>
              <w:left w:w="140" w:type="dxa"/>
              <w:right w:w="140" w:type="dxa"/>
            </w:tcMar>
            <w:vAlign w:val="center"/>
          </w:tcPr>
          <w:p>
            <w:r>
              <w:rPr>
                <w:color w:val="2D3748"/>
                <w:sz w:val="18"/>
              </w:rPr>
              <w:t>Medium</w:t>
            </w:r>
          </w:p>
        </w:tc>
      </w:tr>
    </w:tbl>
    <w:p>
      <w:r>
        <w:br w:type="page"/>
      </w:r>
    </w:p>
    <w:p>
      <w:pPr>
        <w:pStyle w:val="Heading1"/>
      </w:pPr>
      <w:r>
        <w:t>4. External Interfaces &amp; Non-Functional Requirements</w:t>
      </w:r>
    </w:p>
    <w:p>
      <w:pPr>
        <w:pStyle w:val="Heading2"/>
      </w:pPr>
      <w:r>
        <w:t>4.1 External Interfaces</w:t>
      </w:r>
    </w:p>
    <w:p>
      <w:r>
        <w:t>• User Interface: Responsive web interface delivered via Grafana 11 at http://localhost:3000.</w:t>
        <w:br/>
        <w:t>• IoT Protocol Interface: Eclipse Mosquitto MQTT broker on TCP port 1883.</w:t>
        <w:br/>
        <w:t>• Database Storage Interface: InfluxDB v2 API on TCP port 8086 with Flux scripting engine.</w:t>
        <w:br/>
        <w:t>• Compute Interface: NVIDIA Ampere GPU via PyTorch CUDA 12.4 tensor backend.</w:t>
      </w:r>
    </w:p>
    <w:p>
      <w:pPr>
        <w:pStyle w:val="Heading2"/>
      </w:pPr>
      <w:r>
        <w:t>4.2 Non-Functional Requirements (NFRs)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2B6CB0"/>
            <w:tcMar>
              <w:top w:w="120" w:type="dxa"/>
              <w:bottom w:w="120" w:type="dxa"/>
              <w:left w:w="140" w:type="dxa"/>
              <w:right w:w="140" w:type="dxa"/>
            </w:tcMar>
            <w:vAlign w:val="center"/>
          </w:tcPr>
          <w:p>
            <w:pPr>
              <w:jc w:val="center"/>
            </w:pPr>
            <w:r>
              <w:rPr>
                <w:b/>
                <w:color w:val="FFFFFF"/>
                <w:sz w:val="19"/>
              </w:rPr>
              <w:t>Attribute</w:t>
            </w:r>
          </w:p>
        </w:tc>
        <w:tc>
          <w:tcPr>
            <w:tcW w:type="dxa" w:w="3600"/>
            <w:shd w:val="clear" w:color="auto" w:fill="2B6CB0"/>
            <w:tcMar>
              <w:top w:w="120" w:type="dxa"/>
              <w:bottom w:w="120" w:type="dxa"/>
              <w:left w:w="140" w:type="dxa"/>
              <w:right w:w="140" w:type="dxa"/>
            </w:tcMar>
            <w:vAlign w:val="center"/>
          </w:tcPr>
          <w:p>
            <w:pPr>
              <w:jc w:val="center"/>
            </w:pPr>
            <w:r>
              <w:rPr>
                <w:b/>
                <w:color w:val="FFFFFF"/>
                <w:sz w:val="19"/>
              </w:rPr>
              <w:t>Target Metric / Standard</w:t>
            </w:r>
          </w:p>
        </w:tc>
        <w:tc>
          <w:tcPr>
            <w:tcW w:type="dxa" w:w="3888"/>
            <w:shd w:val="clear" w:color="auto" w:fill="2B6CB0"/>
            <w:tcMar>
              <w:top w:w="120" w:type="dxa"/>
              <w:bottom w:w="120" w:type="dxa"/>
              <w:left w:w="140" w:type="dxa"/>
              <w:right w:w="140" w:type="dxa"/>
            </w:tcMar>
            <w:vAlign w:val="center"/>
          </w:tcPr>
          <w:p>
            <w:pPr>
              <w:jc w:val="center"/>
            </w:pPr>
            <w:r>
              <w:rPr>
                <w:b/>
                <w:color w:val="FFFFFF"/>
                <w:sz w:val="19"/>
              </w:rPr>
              <w:t>Verification &amp; Validation Method</w:t>
            </w:r>
          </w:p>
        </w:tc>
      </w:tr>
      <w:tr>
        <w:tc>
          <w:tcPr>
            <w:tcW w:type="dxa" w:w="2592"/>
            <w:shd w:val="clear" w:color="auto" w:fill="F7FAFC"/>
            <w:tcMar>
              <w:top w:w="120" w:type="dxa"/>
              <w:bottom w:w="120" w:type="dxa"/>
              <w:left w:w="140" w:type="dxa"/>
              <w:right w:w="140" w:type="dxa"/>
            </w:tcMar>
            <w:vAlign w:val="center"/>
          </w:tcPr>
          <w:p>
            <w:r>
              <w:rPr>
                <w:color w:val="2D3748"/>
                <w:sz w:val="18"/>
              </w:rPr>
              <w:t>Performance (Throughput)</w:t>
            </w:r>
          </w:p>
        </w:tc>
        <w:tc>
          <w:tcPr>
            <w:tcW w:type="dxa" w:w="3600"/>
            <w:shd w:val="clear" w:color="auto" w:fill="F7FAFC"/>
            <w:tcMar>
              <w:top w:w="120" w:type="dxa"/>
              <w:bottom w:w="120" w:type="dxa"/>
              <w:left w:w="140" w:type="dxa"/>
              <w:right w:w="140" w:type="dxa"/>
            </w:tcMar>
            <w:vAlign w:val="center"/>
          </w:tcPr>
          <w:p>
            <w:r>
              <w:rPr>
                <w:color w:val="2D3748"/>
                <w:sz w:val="18"/>
              </w:rPr>
              <w:t>Replay throughput &gt;= 5,000 events/sec in burst mode.</w:t>
            </w:r>
          </w:p>
        </w:tc>
        <w:tc>
          <w:tcPr>
            <w:tcW w:type="dxa" w:w="3888"/>
            <w:shd w:val="clear" w:color="auto" w:fill="F7FAFC"/>
            <w:tcMar>
              <w:top w:w="120" w:type="dxa"/>
              <w:bottom w:w="120" w:type="dxa"/>
              <w:left w:w="140" w:type="dxa"/>
              <w:right w:w="140" w:type="dxa"/>
            </w:tcMar>
            <w:vAlign w:val="center"/>
          </w:tcPr>
          <w:p>
            <w:r>
              <w:rPr>
                <w:color w:val="2D3748"/>
                <w:sz w:val="18"/>
              </w:rPr>
              <w:t>Achieved 7,405 events/sec via run.py --speed 0.</w:t>
            </w:r>
          </w:p>
        </w:tc>
      </w:tr>
      <w:tr>
        <w:tc>
          <w:tcPr>
            <w:tcW w:type="dxa" w:w="2592"/>
            <w:shd w:val="clear" w:color="auto" w:fill="FFFFFF"/>
            <w:tcMar>
              <w:top w:w="120" w:type="dxa"/>
              <w:bottom w:w="120" w:type="dxa"/>
              <w:left w:w="140" w:type="dxa"/>
              <w:right w:w="140" w:type="dxa"/>
            </w:tcMar>
            <w:vAlign w:val="center"/>
          </w:tcPr>
          <w:p>
            <w:r>
              <w:rPr>
                <w:color w:val="2D3748"/>
                <w:sz w:val="18"/>
              </w:rPr>
              <w:t>Performance (Latency)</w:t>
            </w:r>
          </w:p>
        </w:tc>
        <w:tc>
          <w:tcPr>
            <w:tcW w:type="dxa" w:w="3600"/>
            <w:shd w:val="clear" w:color="auto" w:fill="FFFFFF"/>
            <w:tcMar>
              <w:top w:w="120" w:type="dxa"/>
              <w:bottom w:w="120" w:type="dxa"/>
              <w:left w:w="140" w:type="dxa"/>
              <w:right w:w="140" w:type="dxa"/>
            </w:tcMar>
            <w:vAlign w:val="center"/>
          </w:tcPr>
          <w:p>
            <w:r>
              <w:rPr>
                <w:color w:val="2D3748"/>
                <w:sz w:val="18"/>
              </w:rPr>
              <w:t>Neural inference latency &lt; 25ms per part on GPU.</w:t>
            </w:r>
          </w:p>
        </w:tc>
        <w:tc>
          <w:tcPr>
            <w:tcW w:type="dxa" w:w="3888"/>
            <w:shd w:val="clear" w:color="auto" w:fill="FFFFFF"/>
            <w:tcMar>
              <w:top w:w="120" w:type="dxa"/>
              <w:bottom w:w="120" w:type="dxa"/>
              <w:left w:w="140" w:type="dxa"/>
              <w:right w:w="140" w:type="dxa"/>
            </w:tcMar>
            <w:vAlign w:val="center"/>
          </w:tcPr>
          <w:p>
            <w:r>
              <w:rPr>
                <w:color w:val="2D3748"/>
                <w:sz w:val="18"/>
              </w:rPr>
              <w:t>Achieved 11.4ms batch inference on RTX 3050 GPU.</w:t>
            </w:r>
          </w:p>
        </w:tc>
      </w:tr>
      <w:tr>
        <w:tc>
          <w:tcPr>
            <w:tcW w:type="dxa" w:w="2592"/>
            <w:shd w:val="clear" w:color="auto" w:fill="F7FAFC"/>
            <w:tcMar>
              <w:top w:w="120" w:type="dxa"/>
              <w:bottom w:w="120" w:type="dxa"/>
              <w:left w:w="140" w:type="dxa"/>
              <w:right w:w="140" w:type="dxa"/>
            </w:tcMar>
            <w:vAlign w:val="center"/>
          </w:tcPr>
          <w:p>
            <w:r>
              <w:rPr>
                <w:color w:val="2D3748"/>
                <w:sz w:val="18"/>
              </w:rPr>
              <w:t>Security</w:t>
            </w:r>
          </w:p>
        </w:tc>
        <w:tc>
          <w:tcPr>
            <w:tcW w:type="dxa" w:w="3600"/>
            <w:shd w:val="clear" w:color="auto" w:fill="F7FAFC"/>
            <w:tcMar>
              <w:top w:w="120" w:type="dxa"/>
              <w:bottom w:w="120" w:type="dxa"/>
              <w:left w:w="140" w:type="dxa"/>
              <w:right w:w="140" w:type="dxa"/>
            </w:tcMar>
            <w:vAlign w:val="center"/>
          </w:tcPr>
          <w:p>
            <w:r>
              <w:rPr>
                <w:color w:val="2D3748"/>
                <w:sz w:val="18"/>
              </w:rPr>
              <w:t>Token-based InfluxDB access; Grafana RBAC authentication.</w:t>
            </w:r>
          </w:p>
        </w:tc>
        <w:tc>
          <w:tcPr>
            <w:tcW w:type="dxa" w:w="3888"/>
            <w:shd w:val="clear" w:color="auto" w:fill="F7FAFC"/>
            <w:tcMar>
              <w:top w:w="120" w:type="dxa"/>
              <w:bottom w:w="120" w:type="dxa"/>
              <w:left w:w="140" w:type="dxa"/>
              <w:right w:w="140" w:type="dxa"/>
            </w:tcMar>
            <w:vAlign w:val="center"/>
          </w:tcPr>
          <w:p>
            <w:r>
              <w:rPr>
                <w:color w:val="2D3748"/>
                <w:sz w:val="18"/>
              </w:rPr>
              <w:t>Enforced via twin_config.yaml and Docker networking.</w:t>
            </w:r>
          </w:p>
        </w:tc>
      </w:tr>
      <w:tr>
        <w:tc>
          <w:tcPr>
            <w:tcW w:type="dxa" w:w="2592"/>
            <w:shd w:val="clear" w:color="auto" w:fill="FFFFFF"/>
            <w:tcMar>
              <w:top w:w="120" w:type="dxa"/>
              <w:bottom w:w="120" w:type="dxa"/>
              <w:left w:w="140" w:type="dxa"/>
              <w:right w:w="140" w:type="dxa"/>
            </w:tcMar>
            <w:vAlign w:val="center"/>
          </w:tcPr>
          <w:p>
            <w:r>
              <w:rPr>
                <w:color w:val="2D3748"/>
                <w:sz w:val="18"/>
              </w:rPr>
              <w:t>Reliability</w:t>
            </w:r>
          </w:p>
        </w:tc>
        <w:tc>
          <w:tcPr>
            <w:tcW w:type="dxa" w:w="3600"/>
            <w:shd w:val="clear" w:color="auto" w:fill="FFFFFF"/>
            <w:tcMar>
              <w:top w:w="120" w:type="dxa"/>
              <w:bottom w:w="120" w:type="dxa"/>
              <w:left w:w="140" w:type="dxa"/>
              <w:right w:w="140" w:type="dxa"/>
            </w:tcMar>
            <w:vAlign w:val="center"/>
          </w:tcPr>
          <w:p>
            <w:r>
              <w:rPr>
                <w:color w:val="2D3748"/>
                <w:sz w:val="18"/>
              </w:rPr>
              <w:t>Continuous uptime &gt;= 99.0%; zero memory leakage across long runs.</w:t>
            </w:r>
          </w:p>
        </w:tc>
        <w:tc>
          <w:tcPr>
            <w:tcW w:type="dxa" w:w="3888"/>
            <w:shd w:val="clear" w:color="auto" w:fill="FFFFFF"/>
            <w:tcMar>
              <w:top w:w="120" w:type="dxa"/>
              <w:bottom w:w="120" w:type="dxa"/>
              <w:left w:w="140" w:type="dxa"/>
              <w:right w:w="140" w:type="dxa"/>
            </w:tcMar>
            <w:vAlign w:val="center"/>
          </w:tcPr>
          <w:p>
            <w:r>
              <w:rPr>
                <w:color w:val="2D3748"/>
                <w:sz w:val="18"/>
              </w:rPr>
              <w:t>Enforced with bounded sliding deques (maxlen=10000).</w:t>
            </w:r>
          </w:p>
        </w:tc>
      </w:tr>
      <w:tr>
        <w:tc>
          <w:tcPr>
            <w:tcW w:type="dxa" w:w="2592"/>
            <w:shd w:val="clear" w:color="auto" w:fill="F7FAFC"/>
            <w:tcMar>
              <w:top w:w="120" w:type="dxa"/>
              <w:bottom w:w="120" w:type="dxa"/>
              <w:left w:w="140" w:type="dxa"/>
              <w:right w:w="140" w:type="dxa"/>
            </w:tcMar>
            <w:vAlign w:val="center"/>
          </w:tcPr>
          <w:p>
            <w:r>
              <w:rPr>
                <w:color w:val="2D3748"/>
                <w:sz w:val="18"/>
              </w:rPr>
              <w:t>ML Predictive Lift</w:t>
            </w:r>
          </w:p>
        </w:tc>
        <w:tc>
          <w:tcPr>
            <w:tcW w:type="dxa" w:w="3600"/>
            <w:shd w:val="clear" w:color="auto" w:fill="F7FAFC"/>
            <w:tcMar>
              <w:top w:w="120" w:type="dxa"/>
              <w:bottom w:w="120" w:type="dxa"/>
              <w:left w:w="140" w:type="dxa"/>
              <w:right w:w="140" w:type="dxa"/>
            </w:tcMar>
            <w:vAlign w:val="center"/>
          </w:tcPr>
          <w:p>
            <w:r>
              <w:rPr>
                <w:color w:val="2D3748"/>
                <w:sz w:val="18"/>
              </w:rPr>
              <w:t>Defect model Lift@1% &gt;= 5.0x over random baseline.</w:t>
            </w:r>
          </w:p>
        </w:tc>
        <w:tc>
          <w:tcPr>
            <w:tcW w:type="dxa" w:w="3888"/>
            <w:shd w:val="clear" w:color="auto" w:fill="F7FAFC"/>
            <w:tcMar>
              <w:top w:w="120" w:type="dxa"/>
              <w:bottom w:w="120" w:type="dxa"/>
              <w:left w:w="140" w:type="dxa"/>
              <w:right w:w="140" w:type="dxa"/>
            </w:tcMar>
            <w:vAlign w:val="center"/>
          </w:tcPr>
          <w:p>
            <w:r>
              <w:rPr>
                <w:color w:val="2D3748"/>
                <w:sz w:val="18"/>
              </w:rPr>
              <w:t>Achieved 5.8x to 7.26x Lift@1% in forward chaining.</w:t>
            </w:r>
          </w:p>
        </w:tc>
      </w:tr>
    </w:tbl>
    <w:p>
      <w:pPr>
        <w:spacing w:before="200"/>
        <w:jc w:val="center"/>
      </w:pPr>
    </w:p>
    <w:p>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figure4_risk_bands_overlay.png"/>
                    <pic:cNvPicPr/>
                  </pic:nvPicPr>
                  <pic:blipFill>
                    <a:blip r:embed="rId12"/>
                    <a:stretch>
                      <a:fillRect/>
                    </a:stretch>
                  </pic:blipFill>
                  <pic:spPr>
                    <a:xfrm>
                      <a:off x="0" y="0"/>
                      <a:ext cx="5303520" cy="2651760"/>
                    </a:xfrm>
                    <a:prstGeom prst="rect"/>
                  </pic:spPr>
                </pic:pic>
              </a:graphicData>
            </a:graphic>
          </wp:inline>
        </w:drawing>
      </w:r>
    </w:p>
    <w:p>
      <w:pPr>
        <w:jc w:val="center"/>
      </w:pPr>
      <w:r>
        <w:rPr>
          <w:i/>
          <w:sz w:val="19"/>
        </w:rPr>
        <w:t>Figure 4.1: Part Risk Categorization Bands vs Empirical Quality Outcomes</w:t>
      </w:r>
    </w:p>
    <w:p>
      <w:r>
        <w:br w:type="page"/>
      </w:r>
    </w:p>
    <w:p>
      <w:pPr>
        <w:pStyle w:val="Heading1"/>
      </w:pPr>
      <w:r>
        <w:t>5. System Design and Analysis Models</w:t>
      </w:r>
    </w:p>
    <w:p>
      <w:pPr>
        <w:pStyle w:val="Heading2"/>
      </w:pPr>
      <w:r>
        <w:t>5.1 Use Case Specifications</w:t>
      </w:r>
    </w:p>
    <w:p>
      <w:r>
        <w:t>The system accommodates plant engineers, quality specialists, and evaluators through well-defined interactions: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2B6CB0"/>
            <w:tcMar>
              <w:top w:w="120" w:type="dxa"/>
              <w:bottom w:w="120" w:type="dxa"/>
              <w:left w:w="140" w:type="dxa"/>
              <w:right w:w="140" w:type="dxa"/>
            </w:tcMar>
            <w:vAlign w:val="center"/>
          </w:tcPr>
          <w:p>
            <w:pPr>
              <w:jc w:val="center"/>
            </w:pPr>
            <w:r>
              <w:rPr>
                <w:b/>
                <w:color w:val="FFFFFF"/>
                <w:sz w:val="19"/>
              </w:rPr>
              <w:t>Use Case ID</w:t>
            </w:r>
          </w:p>
        </w:tc>
        <w:tc>
          <w:tcPr>
            <w:tcW w:type="dxa" w:w="2592"/>
            <w:shd w:val="clear" w:color="auto" w:fill="2B6CB0"/>
            <w:tcMar>
              <w:top w:w="120" w:type="dxa"/>
              <w:bottom w:w="120" w:type="dxa"/>
              <w:left w:w="140" w:type="dxa"/>
              <w:right w:w="140" w:type="dxa"/>
            </w:tcMar>
            <w:vAlign w:val="center"/>
          </w:tcPr>
          <w:p>
            <w:pPr>
              <w:jc w:val="center"/>
            </w:pPr>
            <w:r>
              <w:rPr>
                <w:b/>
                <w:color w:val="FFFFFF"/>
                <w:sz w:val="19"/>
              </w:rPr>
              <w:t>Use Case Title</w:t>
            </w:r>
          </w:p>
        </w:tc>
        <w:tc>
          <w:tcPr>
            <w:tcW w:type="dxa" w:w="2304"/>
            <w:shd w:val="clear" w:color="auto" w:fill="2B6CB0"/>
            <w:tcMar>
              <w:top w:w="120" w:type="dxa"/>
              <w:bottom w:w="120" w:type="dxa"/>
              <w:left w:w="140" w:type="dxa"/>
              <w:right w:w="140" w:type="dxa"/>
            </w:tcMar>
            <w:vAlign w:val="center"/>
          </w:tcPr>
          <w:p>
            <w:pPr>
              <w:jc w:val="center"/>
            </w:pPr>
            <w:r>
              <w:rPr>
                <w:b/>
                <w:color w:val="FFFFFF"/>
                <w:sz w:val="19"/>
              </w:rPr>
              <w:t>Primary Actor</w:t>
            </w:r>
          </w:p>
        </w:tc>
        <w:tc>
          <w:tcPr>
            <w:tcW w:type="dxa" w:w="3744"/>
            <w:shd w:val="clear" w:color="auto" w:fill="2B6CB0"/>
            <w:tcMar>
              <w:top w:w="120" w:type="dxa"/>
              <w:bottom w:w="120" w:type="dxa"/>
              <w:left w:w="140" w:type="dxa"/>
              <w:right w:w="140" w:type="dxa"/>
            </w:tcMar>
            <w:vAlign w:val="center"/>
          </w:tcPr>
          <w:p>
            <w:pPr>
              <w:jc w:val="center"/>
            </w:pPr>
            <w:r>
              <w:rPr>
                <w:b/>
                <w:color w:val="FFFFFF"/>
                <w:sz w:val="19"/>
              </w:rPr>
              <w:t>Operational Description</w:t>
            </w:r>
          </w:p>
        </w:tc>
      </w:tr>
      <w:tr>
        <w:tc>
          <w:tcPr>
            <w:tcW w:type="dxa" w:w="1440"/>
            <w:shd w:val="clear" w:color="auto" w:fill="F7FAFC"/>
            <w:tcMar>
              <w:top w:w="120" w:type="dxa"/>
              <w:bottom w:w="120" w:type="dxa"/>
              <w:left w:w="140" w:type="dxa"/>
              <w:right w:w="140" w:type="dxa"/>
            </w:tcMar>
            <w:vAlign w:val="center"/>
          </w:tcPr>
          <w:p>
            <w:r>
              <w:rPr>
                <w:color w:val="2D3748"/>
                <w:sz w:val="18"/>
              </w:rPr>
              <w:t>UC-01</w:t>
            </w:r>
          </w:p>
        </w:tc>
        <w:tc>
          <w:tcPr>
            <w:tcW w:type="dxa" w:w="2592"/>
            <w:shd w:val="clear" w:color="auto" w:fill="F7FAFC"/>
            <w:tcMar>
              <w:top w:w="120" w:type="dxa"/>
              <w:bottom w:w="120" w:type="dxa"/>
              <w:left w:w="140" w:type="dxa"/>
              <w:right w:w="140" w:type="dxa"/>
            </w:tcMar>
            <w:vAlign w:val="center"/>
          </w:tcPr>
          <w:p>
            <w:r>
              <w:rPr>
                <w:color w:val="2D3748"/>
                <w:sz w:val="18"/>
              </w:rPr>
              <w:t>Launch Replay &amp; Set Speed</w:t>
            </w:r>
          </w:p>
        </w:tc>
        <w:tc>
          <w:tcPr>
            <w:tcW w:type="dxa" w:w="2304"/>
            <w:shd w:val="clear" w:color="auto" w:fill="F7FAFC"/>
            <w:tcMar>
              <w:top w:w="120" w:type="dxa"/>
              <w:bottom w:w="120" w:type="dxa"/>
              <w:left w:w="140" w:type="dxa"/>
              <w:right w:w="140" w:type="dxa"/>
            </w:tcMar>
            <w:vAlign w:val="center"/>
          </w:tcPr>
          <w:p>
            <w:r>
              <w:rPr>
                <w:color w:val="2D3748"/>
                <w:sz w:val="18"/>
              </w:rPr>
              <w:t>Plant Operations Eng.</w:t>
            </w:r>
          </w:p>
        </w:tc>
        <w:tc>
          <w:tcPr>
            <w:tcW w:type="dxa" w:w="3744"/>
            <w:shd w:val="clear" w:color="auto" w:fill="F7FAFC"/>
            <w:tcMar>
              <w:top w:w="120" w:type="dxa"/>
              <w:bottom w:w="120" w:type="dxa"/>
              <w:left w:w="140" w:type="dxa"/>
              <w:right w:w="140" w:type="dxa"/>
            </w:tcMar>
            <w:vAlign w:val="center"/>
          </w:tcPr>
          <w:p>
            <w:r>
              <w:rPr>
                <w:color w:val="2D3748"/>
                <w:sz w:val="18"/>
              </w:rPr>
              <w:t>Initiates scenario streaming at configurable speed multiplier.</w:t>
            </w:r>
          </w:p>
        </w:tc>
      </w:tr>
      <w:tr>
        <w:tc>
          <w:tcPr>
            <w:tcW w:type="dxa" w:w="1440"/>
            <w:shd w:val="clear" w:color="auto" w:fill="FFFFFF"/>
            <w:tcMar>
              <w:top w:w="120" w:type="dxa"/>
              <w:bottom w:w="120" w:type="dxa"/>
              <w:left w:w="140" w:type="dxa"/>
              <w:right w:w="140" w:type="dxa"/>
            </w:tcMar>
            <w:vAlign w:val="center"/>
          </w:tcPr>
          <w:p>
            <w:r>
              <w:rPr>
                <w:color w:val="2D3748"/>
                <w:sz w:val="18"/>
              </w:rPr>
              <w:t>UC-02</w:t>
            </w:r>
          </w:p>
        </w:tc>
        <w:tc>
          <w:tcPr>
            <w:tcW w:type="dxa" w:w="2592"/>
            <w:shd w:val="clear" w:color="auto" w:fill="FFFFFF"/>
            <w:tcMar>
              <w:top w:w="120" w:type="dxa"/>
              <w:bottom w:w="120" w:type="dxa"/>
              <w:left w:w="140" w:type="dxa"/>
              <w:right w:w="140" w:type="dxa"/>
            </w:tcMar>
            <w:vAlign w:val="center"/>
          </w:tcPr>
          <w:p>
            <w:r>
              <w:rPr>
                <w:color w:val="2D3748"/>
                <w:sz w:val="18"/>
              </w:rPr>
              <w:t>Monitor Line Overview</w:t>
            </w:r>
          </w:p>
        </w:tc>
        <w:tc>
          <w:tcPr>
            <w:tcW w:type="dxa" w:w="2304"/>
            <w:shd w:val="clear" w:color="auto" w:fill="FFFFFF"/>
            <w:tcMar>
              <w:top w:w="120" w:type="dxa"/>
              <w:bottom w:w="120" w:type="dxa"/>
              <w:left w:w="140" w:type="dxa"/>
              <w:right w:w="140" w:type="dxa"/>
            </w:tcMar>
            <w:vAlign w:val="center"/>
          </w:tcPr>
          <w:p>
            <w:r>
              <w:rPr>
                <w:color w:val="2D3748"/>
                <w:sz w:val="18"/>
              </w:rPr>
              <w:t>Plant Operations Eng.</w:t>
            </w:r>
          </w:p>
        </w:tc>
        <w:tc>
          <w:tcPr>
            <w:tcW w:type="dxa" w:w="3744"/>
            <w:shd w:val="clear" w:color="auto" w:fill="FFFFFF"/>
            <w:tcMar>
              <w:top w:w="120" w:type="dxa"/>
              <w:bottom w:w="120" w:type="dxa"/>
              <w:left w:w="140" w:type="dxa"/>
              <w:right w:w="140" w:type="dxa"/>
            </w:tcMar>
            <w:vAlign w:val="center"/>
          </w:tcPr>
          <w:p>
            <w:r>
              <w:rPr>
                <w:color w:val="2D3748"/>
                <w:sz w:val="18"/>
              </w:rPr>
              <w:t>Observes throughput, WIP, and real-time Station Status Matrix.</w:t>
            </w:r>
          </w:p>
        </w:tc>
      </w:tr>
      <w:tr>
        <w:tc>
          <w:tcPr>
            <w:tcW w:type="dxa" w:w="1440"/>
            <w:shd w:val="clear" w:color="auto" w:fill="F7FAFC"/>
            <w:tcMar>
              <w:top w:w="120" w:type="dxa"/>
              <w:bottom w:w="120" w:type="dxa"/>
              <w:left w:w="140" w:type="dxa"/>
              <w:right w:w="140" w:type="dxa"/>
            </w:tcMar>
            <w:vAlign w:val="center"/>
          </w:tcPr>
          <w:p>
            <w:r>
              <w:rPr>
                <w:color w:val="2D3748"/>
                <w:sz w:val="18"/>
              </w:rPr>
              <w:t>UC-03</w:t>
            </w:r>
          </w:p>
        </w:tc>
        <w:tc>
          <w:tcPr>
            <w:tcW w:type="dxa" w:w="2592"/>
            <w:shd w:val="clear" w:color="auto" w:fill="F7FAFC"/>
            <w:tcMar>
              <w:top w:w="120" w:type="dxa"/>
              <w:bottom w:w="120" w:type="dxa"/>
              <w:left w:w="140" w:type="dxa"/>
              <w:right w:w="140" w:type="dxa"/>
            </w:tcMar>
            <w:vAlign w:val="center"/>
          </w:tcPr>
          <w:p>
            <w:r>
              <w:rPr>
                <w:color w:val="2D3748"/>
                <w:sz w:val="18"/>
              </w:rPr>
              <w:t>Inspect Station Health &amp; Drift</w:t>
            </w:r>
          </w:p>
        </w:tc>
        <w:tc>
          <w:tcPr>
            <w:tcW w:type="dxa" w:w="2304"/>
            <w:shd w:val="clear" w:color="auto" w:fill="F7FAFC"/>
            <w:tcMar>
              <w:top w:w="120" w:type="dxa"/>
              <w:bottom w:w="120" w:type="dxa"/>
              <w:left w:w="140" w:type="dxa"/>
              <w:right w:w="140" w:type="dxa"/>
            </w:tcMar>
            <w:vAlign w:val="center"/>
          </w:tcPr>
          <w:p>
            <w:r>
              <w:rPr>
                <w:color w:val="2D3748"/>
                <w:sz w:val="18"/>
              </w:rPr>
              <w:t>Maintenance Tech.</w:t>
            </w:r>
          </w:p>
        </w:tc>
        <w:tc>
          <w:tcPr>
            <w:tcW w:type="dxa" w:w="3744"/>
            <w:shd w:val="clear" w:color="auto" w:fill="F7FAFC"/>
            <w:tcMar>
              <w:top w:w="120" w:type="dxa"/>
              <w:bottom w:w="120" w:type="dxa"/>
              <w:left w:w="140" w:type="dxa"/>
              <w:right w:w="140" w:type="dxa"/>
            </w:tcMar>
            <w:vAlign w:val="center"/>
          </w:tcPr>
          <w:p>
            <w:r>
              <w:rPr>
                <w:color w:val="2D3748"/>
                <w:sz w:val="18"/>
              </w:rPr>
              <w:t>Analyzes feature Z-score deviations and transit pacing percentiles.</w:t>
            </w:r>
          </w:p>
        </w:tc>
      </w:tr>
      <w:tr>
        <w:tc>
          <w:tcPr>
            <w:tcW w:type="dxa" w:w="1440"/>
            <w:shd w:val="clear" w:color="auto" w:fill="FFFFFF"/>
            <w:tcMar>
              <w:top w:w="120" w:type="dxa"/>
              <w:bottom w:w="120" w:type="dxa"/>
              <w:left w:w="140" w:type="dxa"/>
              <w:right w:w="140" w:type="dxa"/>
            </w:tcMar>
            <w:vAlign w:val="center"/>
          </w:tcPr>
          <w:p>
            <w:r>
              <w:rPr>
                <w:color w:val="2D3748"/>
                <w:sz w:val="18"/>
              </w:rPr>
              <w:t>UC-04</w:t>
            </w:r>
          </w:p>
        </w:tc>
        <w:tc>
          <w:tcPr>
            <w:tcW w:type="dxa" w:w="2592"/>
            <w:shd w:val="clear" w:color="auto" w:fill="FFFFFF"/>
            <w:tcMar>
              <w:top w:w="120" w:type="dxa"/>
              <w:bottom w:w="120" w:type="dxa"/>
              <w:left w:w="140" w:type="dxa"/>
              <w:right w:w="140" w:type="dxa"/>
            </w:tcMar>
            <w:vAlign w:val="center"/>
          </w:tcPr>
          <w:p>
            <w:r>
              <w:rPr>
                <w:color w:val="2D3748"/>
                <w:sz w:val="18"/>
              </w:rPr>
              <w:t>Predictive Defect Screening</w:t>
            </w:r>
          </w:p>
        </w:tc>
        <w:tc>
          <w:tcPr>
            <w:tcW w:type="dxa" w:w="2304"/>
            <w:shd w:val="clear" w:color="auto" w:fill="FFFFFF"/>
            <w:tcMar>
              <w:top w:w="120" w:type="dxa"/>
              <w:bottom w:w="120" w:type="dxa"/>
              <w:left w:w="140" w:type="dxa"/>
              <w:right w:w="140" w:type="dxa"/>
            </w:tcMar>
            <w:vAlign w:val="center"/>
          </w:tcPr>
          <w:p>
            <w:r>
              <w:rPr>
                <w:color w:val="2D3748"/>
                <w:sz w:val="18"/>
              </w:rPr>
              <w:t>Quality Specialist</w:t>
            </w:r>
          </w:p>
        </w:tc>
        <w:tc>
          <w:tcPr>
            <w:tcW w:type="dxa" w:w="3744"/>
            <w:shd w:val="clear" w:color="auto" w:fill="FFFFFF"/>
            <w:tcMar>
              <w:top w:w="120" w:type="dxa"/>
              <w:bottom w:w="120" w:type="dxa"/>
              <w:left w:w="140" w:type="dxa"/>
              <w:right w:w="140" w:type="dxa"/>
            </w:tcMar>
            <w:vAlign w:val="center"/>
          </w:tcPr>
          <w:p>
            <w:r>
              <w:rPr>
                <w:color w:val="2D3748"/>
                <w:sz w:val="18"/>
              </w:rPr>
              <w:t>Evaluates parts at S34 fork; flags high-risk units (+30-75m lead time).</w:t>
            </w:r>
          </w:p>
        </w:tc>
      </w:tr>
      <w:tr>
        <w:tc>
          <w:tcPr>
            <w:tcW w:type="dxa" w:w="1440"/>
            <w:shd w:val="clear" w:color="auto" w:fill="F7FAFC"/>
            <w:tcMar>
              <w:top w:w="120" w:type="dxa"/>
              <w:bottom w:w="120" w:type="dxa"/>
              <w:left w:w="140" w:type="dxa"/>
              <w:right w:w="140" w:type="dxa"/>
            </w:tcMar>
            <w:vAlign w:val="center"/>
          </w:tcPr>
          <w:p>
            <w:r>
              <w:rPr>
                <w:color w:val="2D3748"/>
                <w:sz w:val="18"/>
              </w:rPr>
              <w:t>UC-05</w:t>
            </w:r>
          </w:p>
        </w:tc>
        <w:tc>
          <w:tcPr>
            <w:tcW w:type="dxa" w:w="2592"/>
            <w:shd w:val="clear" w:color="auto" w:fill="F7FAFC"/>
            <w:tcMar>
              <w:top w:w="120" w:type="dxa"/>
              <w:bottom w:w="120" w:type="dxa"/>
              <w:left w:w="140" w:type="dxa"/>
              <w:right w:w="140" w:type="dxa"/>
            </w:tcMar>
            <w:vAlign w:val="center"/>
          </w:tcPr>
          <w:p>
            <w:r>
              <w:rPr>
                <w:color w:val="2D3748"/>
                <w:sz w:val="18"/>
              </w:rPr>
              <w:t>LSTM Anomaly Investigation</w:t>
            </w:r>
          </w:p>
        </w:tc>
        <w:tc>
          <w:tcPr>
            <w:tcW w:type="dxa" w:w="2304"/>
            <w:shd w:val="clear" w:color="auto" w:fill="F7FAFC"/>
            <w:tcMar>
              <w:top w:w="120" w:type="dxa"/>
              <w:bottom w:w="120" w:type="dxa"/>
              <w:left w:w="140" w:type="dxa"/>
              <w:right w:w="140" w:type="dxa"/>
            </w:tcMar>
            <w:vAlign w:val="center"/>
          </w:tcPr>
          <w:p>
            <w:r>
              <w:rPr>
                <w:color w:val="2D3748"/>
                <w:sz w:val="18"/>
              </w:rPr>
              <w:t>Quality Specialist</w:t>
            </w:r>
          </w:p>
        </w:tc>
        <w:tc>
          <w:tcPr>
            <w:tcW w:type="dxa" w:w="3744"/>
            <w:shd w:val="clear" w:color="auto" w:fill="F7FAFC"/>
            <w:tcMar>
              <w:top w:w="120" w:type="dxa"/>
              <w:bottom w:w="120" w:type="dxa"/>
              <w:left w:w="140" w:type="dxa"/>
              <w:right w:w="140" w:type="dxa"/>
            </w:tcMar>
            <w:vAlign w:val="center"/>
          </w:tcPr>
          <w:p>
            <w:r>
              <w:rPr>
                <w:color w:val="2D3748"/>
                <w:sz w:val="18"/>
              </w:rPr>
              <w:t>Drills into reconstruction error spikes and station contribution radar.</w:t>
            </w:r>
          </w:p>
        </w:tc>
      </w:tr>
    </w:tbl>
    <w:p>
      <w:pPr>
        <w:pStyle w:val="Heading2"/>
      </w:pPr>
      <w:r>
        <w:t>5.2 Data Flow Architecture (DFD Levels 0 and 1)</w:t>
      </w:r>
    </w:p>
    <w:p>
      <w:r>
        <w:t>• DFD Level 0 (Context Level): Historical shop-floor data feeds into the Digital Twin boundary; the twin emits real-time telemetry, health status, and predictive risk alerts to plant engineers, quality teams, and maintenance crews.</w:t>
        <w:br/>
        <w:t>• DFD Level 1 (Decomposition): Ingestion Daemon serializes events into InfluxDB Line Protocol points; Scoring Engine processes sliding windows through Z-score normalizers, Platt-calibrated Defect MLPs, and LSTM Autoencoders before committing to InfluxDB and Grafana.</w:t>
      </w:r>
    </w:p>
    <w:p>
      <w:r>
        <w:br w:type="page"/>
      </w:r>
    </w:p>
    <w:p>
      <w:pPr>
        <w:pStyle w:val="Heading1"/>
      </w:pPr>
      <w:r>
        <w:t>6. Academic Review &amp; Sign-Off</w:t>
      </w:r>
    </w:p>
    <w:p>
      <w:r>
        <w:t>This Software Requirements Specification document has been submitted and reviewed by the academic supervisory panel at ABES Engineering College / AKTU Lucknow as the binding technical specification for the B.Tech 3rd-year engineering project:</w:t>
        <w:br/>
        <w:br/>
        <w:t>Project Title: Knowledge-Driven IoT Fault Diagnosis Assistant: AI-Driven Digital Twin for Smart Factory Operations</w:t>
        <w:br/>
        <w:t>Candidate: Nishchay Arora (University Roll No: 2400320400036)</w:t>
        <w:br/>
        <w:t>Degree: Bachelor of Technology (B.Tech) in Mechanical Engineering</w:t>
        <w:br/>
        <w:t>Academic Year: 2026 – 2027</w:t>
        <w:br/>
      </w:r>
    </w:p>
    <w:p>
      <w:pPr>
        <w:spacing w:before="400"/>
      </w:pPr>
    </w:p>
    <w:tbl>
      <w:tblPr>
        <w:tblW w:type="auto" w:w="0"/>
        <w:jc w:val="center"/>
        <w:tblLook w:firstColumn="1" w:firstRow="1" w:lastColumn="0" w:lastRow="0" w:noHBand="0" w:noVBand="1" w:val="04A0"/>
      </w:tblPr>
      <w:tblGrid>
        <w:gridCol w:w="3120"/>
        <w:gridCol w:w="3120"/>
        <w:gridCol w:w="3120"/>
      </w:tblGrid>
      <w:tr>
        <w:tc>
          <w:tcPr>
            <w:tcW w:type="dxa" w:w="3312"/>
            <w:shd w:val="clear" w:color="auto" w:fill="2B6CB0"/>
            <w:tcMar>
              <w:top w:w="120" w:type="dxa"/>
              <w:bottom w:w="120" w:type="dxa"/>
              <w:left w:w="140" w:type="dxa"/>
              <w:right w:w="140" w:type="dxa"/>
            </w:tcMar>
            <w:vAlign w:val="center"/>
          </w:tcPr>
          <w:p>
            <w:pPr>
              <w:jc w:val="center"/>
            </w:pPr>
            <w:r>
              <w:rPr>
                <w:b/>
                <w:color w:val="FFFFFF"/>
                <w:sz w:val="19"/>
              </w:rPr>
              <w:t>Project Supervisor / Guide</w:t>
            </w:r>
          </w:p>
        </w:tc>
        <w:tc>
          <w:tcPr>
            <w:tcW w:type="dxa" w:w="3312"/>
            <w:shd w:val="clear" w:color="auto" w:fill="2B6CB0"/>
            <w:tcMar>
              <w:top w:w="120" w:type="dxa"/>
              <w:bottom w:w="120" w:type="dxa"/>
              <w:left w:w="140" w:type="dxa"/>
              <w:right w:w="140" w:type="dxa"/>
            </w:tcMar>
            <w:vAlign w:val="center"/>
          </w:tcPr>
          <w:p>
            <w:pPr>
              <w:jc w:val="center"/>
            </w:pPr>
            <w:r>
              <w:rPr>
                <w:b/>
                <w:color w:val="FFFFFF"/>
                <w:sz w:val="19"/>
              </w:rPr>
              <w:t>Internal Examiner</w:t>
            </w:r>
          </w:p>
        </w:tc>
        <w:tc>
          <w:tcPr>
            <w:tcW w:type="dxa" w:w="3312"/>
            <w:shd w:val="clear" w:color="auto" w:fill="2B6CB0"/>
            <w:tcMar>
              <w:top w:w="120" w:type="dxa"/>
              <w:bottom w:w="120" w:type="dxa"/>
              <w:left w:w="140" w:type="dxa"/>
              <w:right w:w="140" w:type="dxa"/>
            </w:tcMar>
            <w:vAlign w:val="center"/>
          </w:tcPr>
          <w:p>
            <w:pPr>
              <w:jc w:val="center"/>
            </w:pPr>
            <w:r>
              <w:rPr>
                <w:b/>
                <w:color w:val="FFFFFF"/>
                <w:sz w:val="19"/>
              </w:rPr>
              <w:t>Head of Department (HOD)</w:t>
            </w:r>
          </w:p>
        </w:tc>
      </w:tr>
      <w:tr>
        <w:tc>
          <w:tcPr>
            <w:tcW w:type="dxa" w:w="3312"/>
            <w:shd w:val="clear" w:color="auto" w:fill="F7FAFC"/>
            <w:tcMar>
              <w:top w:w="120" w:type="dxa"/>
              <w:bottom w:w="120" w:type="dxa"/>
              <w:left w:w="140" w:type="dxa"/>
              <w:right w:w="140" w:type="dxa"/>
            </w:tcMar>
            <w:vAlign w:val="center"/>
          </w:tcPr>
          <w:p>
            <w:r>
              <w:rPr>
                <w:color w:val="2D3748"/>
                <w:sz w:val="18"/>
              </w:rPr>
              <w:t>Prof. / Dr. Tanvi Saxena</w:t>
              <w:br/>
              <w:t>Dept. of Mechanical Engineering</w:t>
            </w:r>
          </w:p>
        </w:tc>
        <w:tc>
          <w:tcPr>
            <w:tcW w:type="dxa" w:w="3312"/>
            <w:shd w:val="clear" w:color="auto" w:fill="F7FAFC"/>
            <w:tcMar>
              <w:top w:w="120" w:type="dxa"/>
              <w:bottom w:w="120" w:type="dxa"/>
              <w:left w:w="140" w:type="dxa"/>
              <w:right w:w="140" w:type="dxa"/>
            </w:tcMar>
            <w:vAlign w:val="center"/>
          </w:tcPr>
          <w:p>
            <w:r>
              <w:rPr>
                <w:color w:val="2D3748"/>
                <w:sz w:val="18"/>
              </w:rPr>
              <w:t>Evaluation Committee</w:t>
              <w:br/>
              <w:t>Dept. of Mechanical Engineering</w:t>
            </w:r>
          </w:p>
        </w:tc>
        <w:tc>
          <w:tcPr>
            <w:tcW w:type="dxa" w:w="3312"/>
            <w:shd w:val="clear" w:color="auto" w:fill="F7FAFC"/>
            <w:tcMar>
              <w:top w:w="120" w:type="dxa"/>
              <w:bottom w:w="120" w:type="dxa"/>
              <w:left w:w="140" w:type="dxa"/>
              <w:right w:w="140" w:type="dxa"/>
            </w:tcMar>
            <w:vAlign w:val="center"/>
          </w:tcPr>
          <w:p>
            <w:r>
              <w:rPr>
                <w:color w:val="2D3748"/>
                <w:sz w:val="18"/>
              </w:rPr>
              <w:t>Head of Department</w:t>
              <w:br/>
              <w:t>Dept. of Mechanical Engineering</w:t>
            </w:r>
          </w:p>
        </w:tc>
      </w:tr>
      <w:tr>
        <w:tc>
          <w:tcPr>
            <w:tcW w:type="dxa" w:w="3312"/>
            <w:shd w:val="clear" w:color="auto" w:fill="FFFFFF"/>
            <w:tcMar>
              <w:top w:w="120" w:type="dxa"/>
              <w:bottom w:w="120" w:type="dxa"/>
              <w:left w:w="140" w:type="dxa"/>
              <w:right w:w="140" w:type="dxa"/>
            </w:tcMar>
            <w:vAlign w:val="center"/>
          </w:tcPr>
          <w:p>
            <w:r>
              <w:rPr>
                <w:color w:val="2D3748"/>
                <w:sz w:val="18"/>
              </w:rPr>
              <w:br/>
              <w:t>Signature: __________________</w:t>
              <w:br/>
            </w:r>
          </w:p>
        </w:tc>
        <w:tc>
          <w:tcPr>
            <w:tcW w:type="dxa" w:w="3312"/>
            <w:shd w:val="clear" w:color="auto" w:fill="FFFFFF"/>
            <w:tcMar>
              <w:top w:w="120" w:type="dxa"/>
              <w:bottom w:w="120" w:type="dxa"/>
              <w:left w:w="140" w:type="dxa"/>
              <w:right w:w="140" w:type="dxa"/>
            </w:tcMar>
            <w:vAlign w:val="center"/>
          </w:tcPr>
          <w:p>
            <w:r>
              <w:rPr>
                <w:color w:val="2D3748"/>
                <w:sz w:val="18"/>
              </w:rPr>
              <w:br/>
              <w:t>Signature: __________________</w:t>
              <w:br/>
            </w:r>
          </w:p>
        </w:tc>
        <w:tc>
          <w:tcPr>
            <w:tcW w:type="dxa" w:w="3312"/>
            <w:shd w:val="clear" w:color="auto" w:fill="FFFFFF"/>
            <w:tcMar>
              <w:top w:w="120" w:type="dxa"/>
              <w:bottom w:w="120" w:type="dxa"/>
              <w:left w:w="140" w:type="dxa"/>
              <w:right w:w="140" w:type="dxa"/>
            </w:tcMar>
            <w:vAlign w:val="center"/>
          </w:tcPr>
          <w:p>
            <w:r>
              <w:rPr>
                <w:color w:val="2D3748"/>
                <w:sz w:val="18"/>
              </w:rPr>
              <w:br/>
              <w:t>Signature: __________________</w:t>
              <w:br/>
            </w:r>
          </w:p>
        </w:tc>
      </w:tr>
      <w:tr>
        <w:tc>
          <w:tcPr>
            <w:tcW w:type="dxa" w:w="3312"/>
            <w:shd w:val="clear" w:color="auto" w:fill="F7FAFC"/>
            <w:tcMar>
              <w:top w:w="120" w:type="dxa"/>
              <w:bottom w:w="120" w:type="dxa"/>
              <w:left w:w="140" w:type="dxa"/>
              <w:right w:w="140" w:type="dxa"/>
            </w:tcMar>
            <w:vAlign w:val="center"/>
          </w:tcPr>
          <w:p>
            <w:r>
              <w:rPr>
                <w:color w:val="2D3748"/>
                <w:sz w:val="18"/>
              </w:rPr>
              <w:t>Date: ________________________</w:t>
            </w:r>
          </w:p>
        </w:tc>
        <w:tc>
          <w:tcPr>
            <w:tcW w:type="dxa" w:w="3312"/>
            <w:shd w:val="clear" w:color="auto" w:fill="F7FAFC"/>
            <w:tcMar>
              <w:top w:w="120" w:type="dxa"/>
              <w:bottom w:w="120" w:type="dxa"/>
              <w:left w:w="140" w:type="dxa"/>
              <w:right w:w="140" w:type="dxa"/>
            </w:tcMar>
            <w:vAlign w:val="center"/>
          </w:tcPr>
          <w:p>
            <w:r>
              <w:rPr>
                <w:color w:val="2D3748"/>
                <w:sz w:val="18"/>
              </w:rPr>
              <w:t>Date: ________________________</w:t>
            </w:r>
          </w:p>
        </w:tc>
        <w:tc>
          <w:tcPr>
            <w:tcW w:type="dxa" w:w="3312"/>
            <w:shd w:val="clear" w:color="auto" w:fill="F7FAFC"/>
            <w:tcMar>
              <w:top w:w="120" w:type="dxa"/>
              <w:bottom w:w="120" w:type="dxa"/>
              <w:left w:w="140" w:type="dxa"/>
              <w:right w:w="140" w:type="dxa"/>
            </w:tcMar>
            <w:vAlign w:val="center"/>
          </w:tcPr>
          <w:p>
            <w:r>
              <w:rPr>
                <w:color w:val="2D3748"/>
                <w:sz w:val="18"/>
              </w:rPr>
              <w:t>Date: ________________________</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202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