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DDE" w:rsidRDefault="00815762">
      <w:pPr>
        <w:pStyle w:val="Title"/>
        <w:spacing w:line="276" w:lineRule="auto"/>
      </w:pPr>
      <w:r w:rsidRPr="00815762">
        <w:rPr>
          <w:rFonts w:ascii="Arial" w:hAnsi="Arial" w:cs="Arial"/>
        </w:rPr>
        <w:t>Development</w:t>
      </w:r>
      <w:r w:rsidRPr="00815762">
        <w:rPr>
          <w:rFonts w:ascii="Arial" w:hAnsi="Arial" w:cs="Arial"/>
          <w:spacing w:val="-2"/>
        </w:rPr>
        <w:t xml:space="preserve"> </w:t>
      </w:r>
      <w:r w:rsidRPr="00815762">
        <w:rPr>
          <w:rFonts w:ascii="Arial" w:hAnsi="Arial" w:cs="Arial"/>
        </w:rPr>
        <w:t>of</w:t>
      </w:r>
      <w:r w:rsidRPr="00815762">
        <w:rPr>
          <w:rFonts w:ascii="Arial" w:hAnsi="Arial" w:cs="Arial"/>
          <w:spacing w:val="-3"/>
        </w:rPr>
        <w:t xml:space="preserve"> </w:t>
      </w:r>
      <w:r w:rsidRPr="00815762">
        <w:rPr>
          <w:rFonts w:ascii="Arial" w:hAnsi="Arial" w:cs="Arial"/>
        </w:rPr>
        <w:t>pro-drug</w:t>
      </w:r>
      <w:r w:rsidRPr="00815762">
        <w:rPr>
          <w:rFonts w:ascii="Arial" w:hAnsi="Arial" w:cs="Arial"/>
          <w:spacing w:val="-6"/>
        </w:rPr>
        <w:t xml:space="preserve"> </w:t>
      </w:r>
      <w:r w:rsidRPr="00815762">
        <w:rPr>
          <w:rFonts w:ascii="Arial" w:hAnsi="Arial" w:cs="Arial"/>
        </w:rPr>
        <w:t>type</w:t>
      </w:r>
      <w:r w:rsidRPr="00815762">
        <w:rPr>
          <w:rFonts w:ascii="Arial" w:hAnsi="Arial" w:cs="Arial"/>
          <w:spacing w:val="-4"/>
        </w:rPr>
        <w:t xml:space="preserve"> </w:t>
      </w:r>
      <w:r w:rsidRPr="00815762">
        <w:rPr>
          <w:rFonts w:ascii="Arial" w:hAnsi="Arial" w:cs="Arial"/>
        </w:rPr>
        <w:t>peptides</w:t>
      </w:r>
      <w:r w:rsidRPr="00815762">
        <w:rPr>
          <w:rFonts w:ascii="Arial" w:hAnsi="Arial" w:cs="Arial"/>
          <w:spacing w:val="-4"/>
        </w:rPr>
        <w:t xml:space="preserve"> </w:t>
      </w:r>
      <w:r w:rsidRPr="00815762">
        <w:rPr>
          <w:rFonts w:ascii="Arial" w:hAnsi="Arial" w:cs="Arial"/>
        </w:rPr>
        <w:t>for</w:t>
      </w:r>
      <w:r w:rsidRPr="00815762">
        <w:rPr>
          <w:rFonts w:ascii="Arial" w:hAnsi="Arial" w:cs="Arial"/>
          <w:spacing w:val="-5"/>
        </w:rPr>
        <w:t xml:space="preserve"> </w:t>
      </w:r>
      <w:r w:rsidRPr="00815762">
        <w:rPr>
          <w:rFonts w:ascii="Arial" w:hAnsi="Arial" w:cs="Arial"/>
        </w:rPr>
        <w:t>the</w:t>
      </w:r>
      <w:r w:rsidRPr="00815762">
        <w:rPr>
          <w:rFonts w:ascii="Arial" w:hAnsi="Arial" w:cs="Arial"/>
          <w:spacing w:val="-5"/>
        </w:rPr>
        <w:t xml:space="preserve"> </w:t>
      </w:r>
      <w:r w:rsidRPr="00815762">
        <w:rPr>
          <w:rFonts w:ascii="Arial" w:hAnsi="Arial" w:cs="Arial"/>
        </w:rPr>
        <w:t>intervention</w:t>
      </w:r>
      <w:r w:rsidRPr="00815762">
        <w:rPr>
          <w:rFonts w:ascii="Arial" w:hAnsi="Arial" w:cs="Arial"/>
          <w:spacing w:val="-6"/>
        </w:rPr>
        <w:t xml:space="preserve"> </w:t>
      </w:r>
      <w:r w:rsidRPr="00815762">
        <w:rPr>
          <w:rFonts w:ascii="Arial" w:hAnsi="Arial" w:cs="Arial"/>
        </w:rPr>
        <w:t>of</w:t>
      </w:r>
      <w:r w:rsidRPr="00815762">
        <w:rPr>
          <w:rFonts w:ascii="Arial" w:hAnsi="Arial" w:cs="Arial"/>
          <w:spacing w:val="-3"/>
        </w:rPr>
        <w:t xml:space="preserve"> </w:t>
      </w:r>
      <w:r w:rsidRPr="00815762">
        <w:rPr>
          <w:rFonts w:ascii="Arial" w:hAnsi="Arial" w:cs="Arial"/>
        </w:rPr>
        <w:t>Amylin</w:t>
      </w:r>
      <w:r w:rsidRPr="00815762">
        <w:rPr>
          <w:rFonts w:ascii="Arial" w:hAnsi="Arial" w:cs="Arial"/>
          <w:spacing w:val="-67"/>
        </w:rPr>
        <w:t xml:space="preserve"> </w:t>
      </w:r>
      <w:r w:rsidRPr="00815762">
        <w:rPr>
          <w:rFonts w:ascii="Arial" w:hAnsi="Arial" w:cs="Arial"/>
        </w:rPr>
        <w:t>aggregation</w:t>
      </w:r>
      <w:r>
        <w:t>.</w:t>
      </w:r>
    </w:p>
    <w:p w:rsidR="00746DDE" w:rsidRPr="00815762" w:rsidRDefault="00815762">
      <w:pPr>
        <w:spacing w:before="195"/>
        <w:ind w:left="1033" w:right="1049"/>
        <w:jc w:val="center"/>
        <w:rPr>
          <w:rFonts w:ascii="Arial" w:hAnsi="Arial" w:cs="Arial"/>
          <w:sz w:val="20"/>
          <w:szCs w:val="20"/>
        </w:rPr>
      </w:pPr>
      <w:r w:rsidRPr="00815762">
        <w:rPr>
          <w:rFonts w:ascii="Arial" w:hAnsi="Arial" w:cs="Arial"/>
          <w:sz w:val="20"/>
          <w:szCs w:val="20"/>
        </w:rPr>
        <w:t>Altaf</w:t>
      </w:r>
      <w:r w:rsidRPr="00815762">
        <w:rPr>
          <w:rFonts w:ascii="Arial" w:hAnsi="Arial" w:cs="Arial"/>
          <w:spacing w:val="-11"/>
          <w:sz w:val="20"/>
          <w:szCs w:val="20"/>
        </w:rPr>
        <w:t xml:space="preserve"> </w:t>
      </w:r>
      <w:r w:rsidRPr="00815762">
        <w:rPr>
          <w:rFonts w:ascii="Arial" w:hAnsi="Arial" w:cs="Arial"/>
          <w:sz w:val="20"/>
          <w:szCs w:val="20"/>
        </w:rPr>
        <w:t>Hussain</w:t>
      </w:r>
      <w:r w:rsidRPr="00815762">
        <w:rPr>
          <w:rFonts w:ascii="Arial" w:hAnsi="Arial" w:cs="Arial"/>
          <w:spacing w:val="1"/>
          <w:sz w:val="20"/>
          <w:szCs w:val="20"/>
        </w:rPr>
        <w:t xml:space="preserve"> </w:t>
      </w:r>
      <w:r w:rsidRPr="00815762">
        <w:rPr>
          <w:rFonts w:ascii="Arial" w:hAnsi="Arial" w:cs="Arial"/>
          <w:sz w:val="20"/>
          <w:szCs w:val="20"/>
        </w:rPr>
        <w:t>Kawa</w:t>
      </w:r>
      <w:r w:rsidRPr="00815762">
        <w:rPr>
          <w:rFonts w:ascii="Arial" w:hAnsi="Arial" w:cs="Arial"/>
          <w:spacing w:val="-2"/>
          <w:sz w:val="20"/>
          <w:szCs w:val="20"/>
        </w:rPr>
        <w:t xml:space="preserve"> </w:t>
      </w:r>
      <w:r w:rsidRPr="00815762">
        <w:rPr>
          <w:rFonts w:ascii="Arial" w:hAnsi="Arial" w:cs="Arial"/>
          <w:sz w:val="20"/>
          <w:szCs w:val="20"/>
        </w:rPr>
        <w:t>and</w:t>
      </w:r>
      <w:r w:rsidRPr="00815762">
        <w:rPr>
          <w:rFonts w:ascii="Arial" w:hAnsi="Arial" w:cs="Arial"/>
          <w:spacing w:val="-3"/>
          <w:sz w:val="20"/>
          <w:szCs w:val="20"/>
        </w:rPr>
        <w:t xml:space="preserve"> </w:t>
      </w:r>
      <w:r w:rsidRPr="00815762">
        <w:rPr>
          <w:rFonts w:ascii="Arial" w:hAnsi="Arial" w:cs="Arial"/>
          <w:sz w:val="20"/>
          <w:szCs w:val="20"/>
        </w:rPr>
        <w:t>Bhubaneswar</w:t>
      </w:r>
      <w:r w:rsidRPr="00815762">
        <w:rPr>
          <w:rFonts w:ascii="Arial" w:hAnsi="Arial" w:cs="Arial"/>
          <w:spacing w:val="-2"/>
          <w:sz w:val="20"/>
          <w:szCs w:val="20"/>
        </w:rPr>
        <w:t xml:space="preserve"> </w:t>
      </w:r>
      <w:r w:rsidRPr="00815762">
        <w:rPr>
          <w:rFonts w:ascii="Arial" w:hAnsi="Arial" w:cs="Arial"/>
          <w:sz w:val="20"/>
          <w:szCs w:val="20"/>
        </w:rPr>
        <w:t>Mandal*</w:t>
      </w:r>
    </w:p>
    <w:p w:rsidR="00746DDE" w:rsidRPr="00815762" w:rsidRDefault="00815762">
      <w:pPr>
        <w:spacing w:before="140"/>
        <w:ind w:left="1036" w:right="1049"/>
        <w:jc w:val="center"/>
        <w:rPr>
          <w:rFonts w:ascii="Arial" w:hAnsi="Arial" w:cs="Arial"/>
          <w:i/>
          <w:sz w:val="20"/>
        </w:rPr>
      </w:pPr>
      <w:r w:rsidRPr="00815762">
        <w:rPr>
          <w:rFonts w:ascii="Arial" w:hAnsi="Arial" w:cs="Arial"/>
          <w:i/>
          <w:sz w:val="20"/>
        </w:rPr>
        <w:t>Department</w:t>
      </w:r>
      <w:r w:rsidRPr="00815762">
        <w:rPr>
          <w:rFonts w:ascii="Arial" w:hAnsi="Arial" w:cs="Arial"/>
          <w:i/>
          <w:spacing w:val="-3"/>
          <w:sz w:val="20"/>
        </w:rPr>
        <w:t xml:space="preserve"> </w:t>
      </w:r>
      <w:r w:rsidRPr="00815762">
        <w:rPr>
          <w:rFonts w:ascii="Arial" w:hAnsi="Arial" w:cs="Arial"/>
          <w:i/>
          <w:sz w:val="20"/>
        </w:rPr>
        <w:t>of</w:t>
      </w:r>
      <w:r w:rsidRPr="00815762">
        <w:rPr>
          <w:rFonts w:ascii="Arial" w:hAnsi="Arial" w:cs="Arial"/>
          <w:i/>
          <w:spacing w:val="-2"/>
          <w:sz w:val="20"/>
        </w:rPr>
        <w:t xml:space="preserve"> </w:t>
      </w:r>
      <w:r w:rsidRPr="00815762">
        <w:rPr>
          <w:rFonts w:ascii="Arial" w:hAnsi="Arial" w:cs="Arial"/>
          <w:i/>
          <w:sz w:val="20"/>
        </w:rPr>
        <w:t>Chemistry,</w:t>
      </w:r>
      <w:r w:rsidRPr="00815762">
        <w:rPr>
          <w:rFonts w:ascii="Arial" w:hAnsi="Arial" w:cs="Arial"/>
          <w:i/>
          <w:spacing w:val="-1"/>
          <w:sz w:val="20"/>
        </w:rPr>
        <w:t xml:space="preserve"> </w:t>
      </w:r>
      <w:r w:rsidRPr="00815762">
        <w:rPr>
          <w:rFonts w:ascii="Arial" w:hAnsi="Arial" w:cs="Arial"/>
          <w:i/>
          <w:sz w:val="20"/>
        </w:rPr>
        <w:t>Indian</w:t>
      </w:r>
      <w:r w:rsidRPr="00815762">
        <w:rPr>
          <w:rFonts w:ascii="Arial" w:hAnsi="Arial" w:cs="Arial"/>
          <w:i/>
          <w:spacing w:val="-4"/>
          <w:sz w:val="20"/>
        </w:rPr>
        <w:t xml:space="preserve"> </w:t>
      </w:r>
      <w:r w:rsidRPr="00815762">
        <w:rPr>
          <w:rFonts w:ascii="Arial" w:hAnsi="Arial" w:cs="Arial"/>
          <w:i/>
          <w:sz w:val="20"/>
        </w:rPr>
        <w:t>Institute</w:t>
      </w:r>
      <w:r w:rsidRPr="00815762">
        <w:rPr>
          <w:rFonts w:ascii="Arial" w:hAnsi="Arial" w:cs="Arial"/>
          <w:i/>
          <w:spacing w:val="-2"/>
          <w:sz w:val="20"/>
        </w:rPr>
        <w:t xml:space="preserve"> </w:t>
      </w:r>
      <w:r w:rsidRPr="00815762">
        <w:rPr>
          <w:rFonts w:ascii="Arial" w:hAnsi="Arial" w:cs="Arial"/>
          <w:i/>
          <w:sz w:val="20"/>
        </w:rPr>
        <w:t>of</w:t>
      </w:r>
      <w:r w:rsidRPr="00815762">
        <w:rPr>
          <w:rFonts w:ascii="Arial" w:hAnsi="Arial" w:cs="Arial"/>
          <w:i/>
          <w:spacing w:val="-2"/>
          <w:sz w:val="20"/>
        </w:rPr>
        <w:t xml:space="preserve"> </w:t>
      </w:r>
      <w:r w:rsidRPr="00815762">
        <w:rPr>
          <w:rFonts w:ascii="Arial" w:hAnsi="Arial" w:cs="Arial"/>
          <w:i/>
          <w:sz w:val="20"/>
        </w:rPr>
        <w:t>Technology</w:t>
      </w:r>
      <w:r w:rsidRPr="00815762">
        <w:rPr>
          <w:rFonts w:ascii="Arial" w:hAnsi="Arial" w:cs="Arial"/>
          <w:i/>
          <w:spacing w:val="-3"/>
          <w:sz w:val="20"/>
        </w:rPr>
        <w:t xml:space="preserve"> </w:t>
      </w:r>
      <w:r w:rsidRPr="00815762">
        <w:rPr>
          <w:rFonts w:ascii="Arial" w:hAnsi="Arial" w:cs="Arial"/>
          <w:i/>
          <w:sz w:val="20"/>
        </w:rPr>
        <w:t>Guwahati,</w:t>
      </w:r>
      <w:r w:rsidRPr="00815762">
        <w:rPr>
          <w:rFonts w:ascii="Arial" w:hAnsi="Arial" w:cs="Arial"/>
          <w:i/>
          <w:spacing w:val="4"/>
          <w:sz w:val="20"/>
        </w:rPr>
        <w:t xml:space="preserve"> </w:t>
      </w:r>
      <w:r w:rsidRPr="00815762">
        <w:rPr>
          <w:rFonts w:ascii="Arial" w:hAnsi="Arial" w:cs="Arial"/>
          <w:i/>
          <w:sz w:val="20"/>
        </w:rPr>
        <w:t>Guwahati, India-781039</w:t>
      </w:r>
    </w:p>
    <w:p w:rsidR="00746DDE" w:rsidRPr="00815762" w:rsidRDefault="00815762">
      <w:pPr>
        <w:pStyle w:val="BodyText"/>
        <w:spacing w:before="116"/>
        <w:ind w:left="1034" w:right="1049"/>
        <w:jc w:val="center"/>
        <w:rPr>
          <w:rFonts w:ascii="Arial" w:hAnsi="Arial" w:cs="Arial"/>
          <w:i/>
        </w:rPr>
      </w:pPr>
      <w:hyperlink r:id="rId4">
        <w:r w:rsidRPr="00815762">
          <w:rPr>
            <w:rFonts w:ascii="Arial" w:hAnsi="Arial" w:cs="Arial"/>
            <w:i/>
          </w:rPr>
          <w:t>bmandal@iitg.ac.in</w:t>
        </w:r>
      </w:hyperlink>
    </w:p>
    <w:p w:rsidR="00746DDE" w:rsidRPr="00815762" w:rsidRDefault="00746DDE">
      <w:pPr>
        <w:pStyle w:val="BodyText"/>
        <w:rPr>
          <w:rFonts w:ascii="Arial" w:hAnsi="Arial" w:cs="Arial"/>
          <w:i/>
          <w:sz w:val="22"/>
        </w:rPr>
      </w:pPr>
    </w:p>
    <w:p w:rsidR="00746DDE" w:rsidRDefault="00746DDE">
      <w:pPr>
        <w:pStyle w:val="BodyText"/>
        <w:rPr>
          <w:sz w:val="22"/>
        </w:rPr>
      </w:pPr>
    </w:p>
    <w:p w:rsidR="00746DDE" w:rsidRDefault="00746DDE">
      <w:pPr>
        <w:pStyle w:val="BodyText"/>
        <w:spacing w:before="8"/>
        <w:rPr>
          <w:sz w:val="23"/>
        </w:rPr>
      </w:pPr>
    </w:p>
    <w:p w:rsidR="00815762" w:rsidRPr="00815762" w:rsidRDefault="00815762" w:rsidP="00815762">
      <w:pPr>
        <w:pStyle w:val="BodyText"/>
        <w:spacing w:line="360" w:lineRule="auto"/>
        <w:ind w:left="100" w:right="113"/>
        <w:jc w:val="center"/>
        <w:rPr>
          <w:b/>
          <w:sz w:val="24"/>
          <w:szCs w:val="24"/>
        </w:rPr>
      </w:pPr>
      <w:r w:rsidRPr="00815762">
        <w:rPr>
          <w:b/>
          <w:sz w:val="24"/>
          <w:szCs w:val="24"/>
        </w:rPr>
        <w:t>ABSTRACT</w:t>
      </w:r>
    </w:p>
    <w:p w:rsidR="00815762" w:rsidRDefault="00815762" w:rsidP="00815762">
      <w:pPr>
        <w:pStyle w:val="BodyText"/>
        <w:spacing w:line="360" w:lineRule="auto"/>
        <w:ind w:left="100" w:right="113"/>
        <w:jc w:val="center"/>
        <w:rPr>
          <w:b/>
        </w:rPr>
      </w:pPr>
    </w:p>
    <w:p w:rsidR="00746DDE" w:rsidRDefault="00815762">
      <w:pPr>
        <w:pStyle w:val="BodyText"/>
        <w:spacing w:line="360" w:lineRule="auto"/>
        <w:ind w:left="100" w:right="113"/>
        <w:jc w:val="both"/>
      </w:pPr>
      <w:r>
        <w:rPr>
          <w:b/>
        </w:rPr>
        <w:t xml:space="preserve">  </w:t>
      </w:r>
      <w:r>
        <w:t>The contemporary peptide based amyloid inhibitors have a pre-installed breaker element. These</w:t>
      </w:r>
      <w:r>
        <w:rPr>
          <w:spacing w:val="1"/>
        </w:rPr>
        <w:t xml:space="preserve"> </w:t>
      </w:r>
      <w:r>
        <w:t>breaker elements are designed to develop a kink in the back bone of the inhibitor peptide which, inhibits amyloid</w:t>
      </w:r>
      <w:r>
        <w:rPr>
          <w:spacing w:val="1"/>
        </w:rPr>
        <w:t xml:space="preserve"> </w:t>
      </w:r>
      <w:r>
        <w:t>formation. The kink in itself significantly reduces the target site recognition efficiency of the amyloid inhibitor. We</w:t>
      </w:r>
      <w:r>
        <w:rPr>
          <w:spacing w:val="1"/>
        </w:rPr>
        <w:t xml:space="preserve"> </w:t>
      </w:r>
      <w:r>
        <w:t>have developed a new s</w:t>
      </w:r>
      <w:r>
        <w:t>trategy for amyloid disruption. The designed peptide efficiently binds to the target site as a</w:t>
      </w:r>
      <w:r>
        <w:rPr>
          <w:spacing w:val="1"/>
        </w:rPr>
        <w:t xml:space="preserve"> </w:t>
      </w:r>
      <w:r>
        <w:t>normal peptide. The peptide undergoes cascade of chemical reactions and transforms into the actual breaker peptide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thereby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amyloid</w:t>
      </w:r>
      <w:r>
        <w:rPr>
          <w:spacing w:val="1"/>
        </w:rPr>
        <w:t xml:space="preserve"> </w:t>
      </w:r>
      <w:r>
        <w:t>inhibition</w:t>
      </w:r>
      <w:r>
        <w:rPr>
          <w:spacing w:val="1"/>
        </w:rPr>
        <w:t xml:space="preserve"> </w:t>
      </w:r>
      <w:r>
        <w:t>ef</w:t>
      </w:r>
      <w:r>
        <w:t>ficiency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peptide.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peptidomimetics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efficiency</w:t>
      </w:r>
      <w:r>
        <w:rPr>
          <w:spacing w:val="-9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inhibition</w:t>
      </w:r>
      <w:r>
        <w:rPr>
          <w:spacing w:val="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Amylin</w:t>
      </w:r>
      <w:r>
        <w:rPr>
          <w:spacing w:val="1"/>
        </w:rPr>
        <w:t xml:space="preserve"> </w:t>
      </w:r>
      <w:r>
        <w:t>aggregates.</w:t>
      </w:r>
    </w:p>
    <w:p w:rsidR="00746DDE" w:rsidRDefault="00746DDE">
      <w:pPr>
        <w:pStyle w:val="BodyText"/>
      </w:pPr>
    </w:p>
    <w:p w:rsidR="00746DDE" w:rsidRDefault="00746DDE">
      <w:pPr>
        <w:pStyle w:val="BodyText"/>
      </w:pPr>
    </w:p>
    <w:p w:rsidR="00746DDE" w:rsidRDefault="00746DDE">
      <w:pPr>
        <w:pStyle w:val="BodyText"/>
      </w:pPr>
    </w:p>
    <w:p w:rsidR="00746DDE" w:rsidRDefault="00746DDE">
      <w:pPr>
        <w:pStyle w:val="BodyText"/>
      </w:pPr>
    </w:p>
    <w:p w:rsidR="00746DDE" w:rsidRDefault="00815762">
      <w:pPr>
        <w:pStyle w:val="BodyText"/>
        <w:spacing w:before="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164448</wp:posOffset>
            </wp:positionV>
            <wp:extent cx="5549634" cy="212140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634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DDE" w:rsidRDefault="00746DDE">
      <w:pPr>
        <w:pStyle w:val="BodyText"/>
        <w:rPr>
          <w:sz w:val="22"/>
        </w:rPr>
      </w:pPr>
    </w:p>
    <w:p w:rsidR="00746DDE" w:rsidRDefault="00815762">
      <w:pPr>
        <w:pStyle w:val="BodyText"/>
        <w:spacing w:before="192" w:line="276" w:lineRule="auto"/>
        <w:ind w:left="100" w:right="204"/>
        <w:jc w:val="both"/>
      </w:pPr>
      <w:r>
        <w:rPr>
          <w:b/>
        </w:rPr>
        <w:t xml:space="preserve">Figure 1: </w:t>
      </w:r>
      <w:r>
        <w:t>Pictorial representation of the proposed action of the amyloid inhibitor with pre-installed breaker elem</w:t>
      </w:r>
      <w:r>
        <w:t>ent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inhibitor</w:t>
      </w:r>
      <w:r>
        <w:rPr>
          <w:spacing w:val="7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pro-drug</w:t>
      </w:r>
      <w:r>
        <w:rPr>
          <w:spacing w:val="-3"/>
        </w:rPr>
        <w:t xml:space="preserve"> </w:t>
      </w:r>
      <w:r>
        <w:t>mechanism.</w:t>
      </w:r>
      <w:r>
        <w:rPr>
          <w:spacing w:val="5"/>
        </w:rPr>
        <w:t xml:space="preserve"> </w:t>
      </w:r>
      <w:r>
        <w:t>[1]</w:t>
      </w:r>
    </w:p>
    <w:p w:rsidR="00746DDE" w:rsidRDefault="00746DDE">
      <w:pPr>
        <w:pStyle w:val="BodyText"/>
        <w:rPr>
          <w:sz w:val="22"/>
        </w:rPr>
      </w:pPr>
    </w:p>
    <w:p w:rsidR="00746DDE" w:rsidRDefault="00746DDE">
      <w:pPr>
        <w:pStyle w:val="BodyText"/>
        <w:rPr>
          <w:sz w:val="22"/>
        </w:rPr>
      </w:pPr>
    </w:p>
    <w:p w:rsidR="00746DDE" w:rsidRPr="00815762" w:rsidRDefault="00815762">
      <w:pPr>
        <w:pStyle w:val="BodyText"/>
      </w:pPr>
      <w:r w:rsidRPr="00815762">
        <w:rPr>
          <w:b/>
        </w:rPr>
        <w:t>Keywords:</w:t>
      </w:r>
      <w:r>
        <w:rPr>
          <w:b/>
        </w:rPr>
        <w:t xml:space="preserve"> </w:t>
      </w:r>
      <w:r>
        <w:t>Amyloid, Aggregates, Inhibitor, T2D</w:t>
      </w:r>
      <w:bookmarkStart w:id="0" w:name="_GoBack"/>
      <w:bookmarkEnd w:id="0"/>
    </w:p>
    <w:p w:rsidR="00746DDE" w:rsidRDefault="00746DDE">
      <w:pPr>
        <w:pStyle w:val="BodyText"/>
        <w:spacing w:before="3"/>
        <w:rPr>
          <w:sz w:val="23"/>
        </w:rPr>
      </w:pPr>
    </w:p>
    <w:p w:rsidR="00746DDE" w:rsidRDefault="00815762" w:rsidP="00815762">
      <w:pPr>
        <w:spacing w:line="228" w:lineRule="exact"/>
        <w:rPr>
          <w:b/>
          <w:sz w:val="20"/>
        </w:rPr>
      </w:pPr>
      <w:r>
        <w:rPr>
          <w:b/>
          <w:sz w:val="20"/>
        </w:rPr>
        <w:t>References:</w:t>
      </w:r>
    </w:p>
    <w:p w:rsidR="00746DDE" w:rsidRDefault="00815762" w:rsidP="00815762">
      <w:pPr>
        <w:spacing w:line="276" w:lineRule="auto"/>
        <w:ind w:right="150"/>
        <w:rPr>
          <w:sz w:val="20"/>
        </w:rPr>
      </w:pPr>
      <w:r>
        <w:rPr>
          <w:sz w:val="20"/>
        </w:rPr>
        <w:t xml:space="preserve">[1] Paul, A., Kumar, S., Kalita, S., Gosh, A. K., Mandal, A. C., and Mandal, B, </w:t>
      </w:r>
      <w:r>
        <w:rPr>
          <w:i/>
          <w:sz w:val="20"/>
        </w:rPr>
        <w:t>Int. J. of Pep. Res. And therapeutics</w:t>
      </w:r>
      <w:r>
        <w:rPr>
          <w:sz w:val="20"/>
        </w:rPr>
        <w:t>.</w:t>
      </w:r>
      <w:r>
        <w:rPr>
          <w:spacing w:val="-47"/>
          <w:sz w:val="20"/>
        </w:rPr>
        <w:t xml:space="preserve"> </w:t>
      </w:r>
      <w:r>
        <w:rPr>
          <w:sz w:val="20"/>
        </w:rPr>
        <w:t>2018, 24(1), 201.</w:t>
      </w:r>
    </w:p>
    <w:sectPr w:rsidR="00746DDE" w:rsidSect="00815762">
      <w:type w:val="continuous"/>
      <w:pgSz w:w="12240" w:h="15840"/>
      <w:pgMar w:top="1378" w:right="851" w:bottom="278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46DDE"/>
    <w:rsid w:val="00746DDE"/>
    <w:rsid w:val="0081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A3AE"/>
  <w15:docId w15:val="{4D791E86-11F5-4BC2-855F-AF7371B8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8"/>
      <w:ind w:left="609" w:right="62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bmandal@iitg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</dc:creator>
  <cp:lastModifiedBy>M.Q. AAltaf Hussain</cp:lastModifiedBy>
  <cp:revision>2</cp:revision>
  <dcterms:created xsi:type="dcterms:W3CDTF">2022-11-08T06:05:00Z</dcterms:created>
  <dcterms:modified xsi:type="dcterms:W3CDTF">2023-04-20T05:42:00Z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