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Transition Metal Free C-C Bond Formation via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Ipso Nucleophilic Substitution Reaction on Aryl Benzotriazolyl Derivative by Active Methylene Compounds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  <w:rtl w:val="0"/>
        </w:rPr>
        <w:t>Ankita Paul</w:t>
      </w:r>
      <w:r>
        <w:rPr>
          <w:rFonts w:ascii="Arial" w:hAnsi="Arial"/>
          <w:sz w:val="20"/>
          <w:szCs w:val="20"/>
          <w:rtl w:val="0"/>
          <w:lang w:val="en-US"/>
        </w:rPr>
        <w:t>, Sandip Mondal and Bhubaneswar Mandal*</w:t>
      </w:r>
    </w:p>
    <w:p>
      <w:pPr>
        <w:pStyle w:val="BC_Author_Addres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Department of Chemistry, Indian Institute of Technology Guwahati, Guwahati-781039, India.</w:t>
      </w:r>
    </w:p>
    <w:p>
      <w:pPr>
        <w:pStyle w:val="Body"/>
        <w:jc w:val="center"/>
        <w:rPr>
          <w:rStyle w:val="Hyperlink.0"/>
        </w:rPr>
      </w:pPr>
      <w:r>
        <w:rPr>
          <w:rFonts w:ascii="Times New Roman" w:hAnsi="Times New Roman"/>
          <w:sz w:val="24"/>
          <w:szCs w:val="24"/>
          <w:rtl w:val="0"/>
        </w:rPr>
        <w:t>E-mail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"mailto:bmandal@iitg.ac.in"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bmandal@iitg.ac.in</w:t>
      </w:r>
      <w:r>
        <w:rPr/>
        <w:fldChar w:fldCharType="end" w:fldLock="0"/>
      </w:r>
    </w:p>
    <w:p>
      <w:pPr>
        <w:pStyle w:val="Body"/>
        <w:spacing w:line="360" w:lineRule="auto"/>
        <w:jc w:val="center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de-DE"/>
        </w:rPr>
        <w:t>Abstract</w:t>
      </w:r>
    </w:p>
    <w:p>
      <w:pPr>
        <w:pStyle w:val="Body"/>
        <w:spacing w:line="360" w:lineRule="auto"/>
        <w:jc w:val="both"/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/>
          <w:sz w:val="20"/>
          <w:szCs w:val="20"/>
          <w:rtl w:val="0"/>
          <w:lang w:val="en-US"/>
        </w:rPr>
        <w:t xml:space="preserve"> Alkylation of active methylene compound to an aromatic ring is a fundamental requirement in organic synthesis.</w:t>
      </w:r>
      <w:r>
        <w:rPr>
          <w:rFonts w:ascii="Cambria" w:hAnsi="Cambria"/>
          <w:sz w:val="20"/>
          <w:szCs w:val="20"/>
          <w:vertAlign w:val="superscript"/>
          <w:rtl w:val="0"/>
        </w:rPr>
        <w:t>1</w:t>
      </w:r>
      <w:r>
        <w:rPr>
          <w:rFonts w:ascii="Cambria" w:hAnsi="Cambria"/>
          <w:sz w:val="20"/>
          <w:szCs w:val="20"/>
          <w:rtl w:val="0"/>
          <w:lang w:val="en-US"/>
        </w:rPr>
        <w:t xml:space="preserve"> In 1929, Hurtley first reported the C-alkylation of active methylene compounds, such as malonic esters with ortho-substituted aromatic halides using a catalytic amount of copper acetate.</w:t>
      </w:r>
      <w:r>
        <w:rPr>
          <w:rFonts w:ascii="Cambria" w:hAnsi="Cambria"/>
          <w:sz w:val="20"/>
          <w:szCs w:val="20"/>
          <w:vertAlign w:val="superscript"/>
          <w:rtl w:val="0"/>
        </w:rPr>
        <w:t>2</w:t>
      </w:r>
      <w:r>
        <w:rPr>
          <w:rFonts w:ascii="Cambria" w:hAnsi="Cambria"/>
          <w:sz w:val="20"/>
          <w:szCs w:val="20"/>
          <w:rtl w:val="0"/>
          <w:lang w:val="en-US"/>
        </w:rPr>
        <w:t xml:space="preserve"> Recently, a massive exploration has been done in this area of synthesis. Since the transition metal catalyst cross-coupling procedure was discovered, the arylation of active methylene compound became easier than earlier. However, expensive catalyst and ligand requirements, toxic waste, by-product formation, and harsh reaction conditions are the drawbacks of all those protocols. Recently, we have reported the transition metal-free alkylation of active methylene compound on 2,4-dinitrobenzene sulfonic acid with moderate yield.</w:t>
      </w:r>
      <w:r>
        <w:rPr>
          <w:rFonts w:ascii="Cambria" w:hAnsi="Cambria"/>
          <w:sz w:val="20"/>
          <w:szCs w:val="20"/>
          <w:vertAlign w:val="superscript"/>
          <w:rtl w:val="0"/>
        </w:rPr>
        <w:t xml:space="preserve">3 </w:t>
      </w:r>
      <w:r>
        <w:rPr>
          <w:rFonts w:ascii="Cambria" w:hAnsi="Cambria"/>
          <w:sz w:val="20"/>
          <w:szCs w:val="20"/>
          <w:rtl w:val="0"/>
          <w:lang w:val="en-US"/>
        </w:rPr>
        <w:t>Here we have developed a strategy for the arylation of active methylene compound on aryl benzotriazolyl derivative with high yield (upto 98%) in transition metal-free condition. This is a highly efficient protocol for incorporating various active methylene compounds into an aryl benzotriazolyl analog. C-C bond formation occurs by substitution of benzotriazolyl anion.</w:t>
      </w:r>
    </w:p>
    <w:p>
      <w:pPr>
        <w:pStyle w:val="Body"/>
        <w:spacing w:line="360" w:lineRule="auto"/>
        <w:jc w:val="center"/>
        <w:rPr>
          <w:rFonts w:ascii="Cambria" w:cs="Cambria" w:hAnsi="Cambria" w:eastAsia="Cambria"/>
          <w:sz w:val="20"/>
          <w:szCs w:val="20"/>
        </w:rPr>
      </w:pPr>
      <w:r>
        <w:rPr>
          <w:rFonts w:ascii="Cambria" w:cs="Cambria" w:hAnsi="Cambria" w:eastAsia="Cambria"/>
          <w:sz w:val="20"/>
          <w:szCs w:val="20"/>
        </w:rPr>
        <w:drawing xmlns:a="http://schemas.openxmlformats.org/drawingml/2006/main">
          <wp:inline distT="0" distB="0" distL="0" distR="0">
            <wp:extent cx="3375660" cy="1196340"/>
            <wp:effectExtent l="0" t="0" r="0" b="0"/>
            <wp:docPr id="1073741825" name="officeArt object" descr="image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 descr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96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center"/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/>
          <w:b w:val="1"/>
          <w:bCs w:val="1"/>
          <w:sz w:val="20"/>
          <w:szCs w:val="20"/>
          <w:rtl w:val="0"/>
          <w:lang w:val="de-DE"/>
        </w:rPr>
        <w:t>Scheme 1</w:t>
      </w:r>
      <w:r>
        <w:rPr>
          <w:rFonts w:ascii="Cambria" w:hAnsi="Cambria"/>
          <w:sz w:val="20"/>
          <w:szCs w:val="20"/>
          <w:rtl w:val="0"/>
          <w:lang w:val="en-US"/>
        </w:rPr>
        <w:t>: General scheme of arylation of active methylene compound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Fonts w:ascii="Cambria" w:hAnsi="Cambria"/>
          <w:b w:val="1"/>
          <w:bCs w:val="1"/>
          <w:sz w:val="20"/>
          <w:szCs w:val="20"/>
          <w:rtl w:val="0"/>
          <w:lang w:val="en-US"/>
        </w:rPr>
        <w:t xml:space="preserve">Key words: </w:t>
      </w:r>
      <w:r>
        <w:rPr>
          <w:rFonts w:ascii="Cambria" w:hAnsi="Cambria"/>
          <w:sz w:val="20"/>
          <w:szCs w:val="20"/>
          <w:rtl w:val="0"/>
          <w:lang w:val="fr-FR"/>
        </w:rPr>
        <w:t>Ipso-substitution, C-Arylation</w:t>
      </w:r>
    </w:p>
    <w:p>
      <w:pPr>
        <w:pStyle w:val="Body"/>
        <w:spacing w:line="240" w:lineRule="auto"/>
        <w:rPr>
          <w:rFonts w:ascii="Cambria" w:cs="Cambria" w:hAnsi="Cambria" w:eastAsia="Cambria"/>
          <w:b w:val="1"/>
          <w:bCs w:val="1"/>
          <w:sz w:val="18"/>
          <w:szCs w:val="18"/>
        </w:rPr>
      </w:pPr>
      <w:r>
        <w:rPr>
          <w:rFonts w:ascii="Cambria" w:hAnsi="Cambria"/>
          <w:b w:val="1"/>
          <w:bCs w:val="1"/>
          <w:sz w:val="18"/>
          <w:szCs w:val="18"/>
          <w:rtl w:val="0"/>
          <w:lang w:val="en-US"/>
        </w:rPr>
        <w:t xml:space="preserve">References: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</w:rPr>
        <w:t>1.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it-IT"/>
        </w:rPr>
        <w:t xml:space="preserve">Xie, X.; Cai, G.; Ma, D.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 xml:space="preserve">Org. Lett.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2005</w:t>
      </w:r>
      <w:r>
        <w:rPr>
          <w:rFonts w:ascii="Times New Roman" w:hAnsi="Times New Roman"/>
          <w:sz w:val="18"/>
          <w:szCs w:val="18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7</w:t>
      </w:r>
      <w:r>
        <w:rPr>
          <w:rFonts w:ascii="Times New Roman" w:hAnsi="Times New Roman"/>
          <w:sz w:val="18"/>
          <w:szCs w:val="18"/>
          <w:rtl w:val="0"/>
        </w:rPr>
        <w:t>, 4693-4695.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</w:rPr>
        <w:t xml:space="preserve">2. Hennessy, E. J.; Buchwald, S. L.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 xml:space="preserve">Org. Lett.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2002</w:t>
      </w:r>
      <w:r>
        <w:rPr>
          <w:rFonts w:ascii="Times New Roman" w:hAnsi="Times New Roman"/>
          <w:sz w:val="18"/>
          <w:szCs w:val="18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4</w:t>
      </w:r>
      <w:r>
        <w:rPr>
          <w:rFonts w:ascii="Times New Roman" w:hAnsi="Times New Roman"/>
          <w:sz w:val="18"/>
          <w:szCs w:val="18"/>
          <w:rtl w:val="0"/>
        </w:rPr>
        <w:t>, 269-272.</w:t>
      </w:r>
    </w:p>
    <w:p>
      <w:pPr>
        <w:pStyle w:val="Body"/>
        <w:spacing w:line="240" w:lineRule="auto"/>
      </w:pPr>
      <w:r>
        <w:rPr>
          <w:rFonts w:ascii="Times New Roman" w:hAnsi="Times New Roman"/>
          <w:sz w:val="18"/>
          <w:szCs w:val="18"/>
          <w:rtl w:val="0"/>
          <w:lang w:val="it-IT"/>
        </w:rPr>
        <w:t xml:space="preserve">3. Mondal, S.; Dolai, G.; Mandal, B.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nl-NL"/>
        </w:rPr>
        <w:t>ACS Omega,</w:t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2023</w:t>
      </w:r>
      <w:r>
        <w:rPr>
          <w:rFonts w:ascii="Times New Roman" w:hAnsi="Times New Roman"/>
          <w:sz w:val="18"/>
          <w:szCs w:val="18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8</w:t>
      </w:r>
      <w:r>
        <w:rPr>
          <w:rFonts w:ascii="Times New Roman" w:hAnsi="Times New Roman"/>
          <w:sz w:val="18"/>
          <w:szCs w:val="18"/>
          <w:rtl w:val="0"/>
        </w:rPr>
        <w:t>, 1401</w:t>
      </w:r>
      <w:r>
        <w:rPr>
          <w:rFonts w:ascii="Times New Roman" w:hAnsi="Times New Roman" w:hint="default"/>
          <w:sz w:val="18"/>
          <w:szCs w:val="18"/>
          <w:rtl w:val="0"/>
          <w:lang w:val="en-US"/>
        </w:rPr>
        <w:t>−</w:t>
      </w:r>
      <w:r>
        <w:rPr>
          <w:rFonts w:ascii="Times New Roman" w:hAnsi="Times New Roman"/>
          <w:sz w:val="18"/>
          <w:szCs w:val="18"/>
          <w:rtl w:val="0"/>
        </w:rPr>
        <w:t>1409.</w:t>
      </w:r>
    </w:p>
    <w:sectPr>
      <w:headerReference w:type="default" r:id="rId5"/>
      <w:footerReference w:type="default" r:id="rId6"/>
      <w:pgSz w:w="12240" w:h="15840" w:orient="portrait"/>
      <w:pgMar w:top="1440" w:right="851" w:bottom="1440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C_Author_Address">
    <w:name w:val="BC_Author_Address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i w:val="1"/>
      <w:iCs w:val="1"/>
      <w:outline w:val="0"/>
      <w:color w:val="000000"/>
      <w:sz w:val="24"/>
      <w:szCs w:val="24"/>
      <w:u w:val="none"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