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55BA" w:rsidRDefault="00AD05E4" w:rsidP="00D355BA">
      <w:pPr>
        <w:rPr>
          <w:rFonts w:ascii="Times New Roman" w:hAnsi="Times New Roman" w:cs="Times New Roman"/>
          <w:b/>
          <w:bCs/>
          <w:sz w:val="24"/>
          <w:szCs w:val="24"/>
        </w:rPr>
      </w:pPr>
      <w:r>
        <w:rPr>
          <w:rFonts w:ascii="Times New Roman" w:hAnsi="Times New Roman" w:cs="Times New Roman"/>
          <w:b/>
          <w:bCs/>
          <w:sz w:val="24"/>
          <w:szCs w:val="24"/>
        </w:rPr>
        <w:t>Reduced</w:t>
      </w:r>
      <w:r w:rsidR="00354662" w:rsidRPr="001239A2">
        <w:rPr>
          <w:rFonts w:ascii="Times New Roman" w:hAnsi="Times New Roman" w:cs="Times New Roman"/>
          <w:b/>
          <w:bCs/>
          <w:sz w:val="24"/>
          <w:szCs w:val="24"/>
        </w:rPr>
        <w:t xml:space="preserve"> </w:t>
      </w:r>
      <w:r w:rsidR="00FC388A" w:rsidRPr="001239A2">
        <w:rPr>
          <w:rFonts w:ascii="Times New Roman" w:hAnsi="Times New Roman" w:cs="Times New Roman"/>
          <w:b/>
          <w:bCs/>
          <w:sz w:val="24"/>
          <w:szCs w:val="24"/>
        </w:rPr>
        <w:t>Graphene-</w:t>
      </w:r>
      <w:r w:rsidR="00BF6185">
        <w:rPr>
          <w:rFonts w:ascii="Times New Roman" w:hAnsi="Times New Roman" w:cs="Times New Roman"/>
          <w:b/>
          <w:bCs/>
          <w:sz w:val="24"/>
          <w:szCs w:val="24"/>
        </w:rPr>
        <w:t>Zinc Cobalt Sulfide</w:t>
      </w:r>
      <w:r w:rsidR="00FC388A" w:rsidRPr="001239A2">
        <w:rPr>
          <w:rFonts w:ascii="Times New Roman" w:hAnsi="Times New Roman" w:cs="Times New Roman"/>
          <w:b/>
          <w:bCs/>
          <w:sz w:val="24"/>
          <w:szCs w:val="24"/>
        </w:rPr>
        <w:t xml:space="preserve"> Nanosheet Wrapped </w:t>
      </w:r>
      <w:r w:rsidR="00354662" w:rsidRPr="001239A2">
        <w:rPr>
          <w:rFonts w:ascii="Times New Roman" w:hAnsi="Times New Roman" w:cs="Times New Roman"/>
          <w:b/>
          <w:bCs/>
          <w:sz w:val="24"/>
          <w:szCs w:val="24"/>
        </w:rPr>
        <w:t>Ni</w:t>
      </w:r>
      <w:r w:rsidR="00FC388A" w:rsidRPr="001239A2">
        <w:rPr>
          <w:rFonts w:ascii="Times New Roman" w:hAnsi="Times New Roman" w:cs="Times New Roman"/>
          <w:b/>
          <w:bCs/>
          <w:sz w:val="24"/>
          <w:szCs w:val="24"/>
        </w:rPr>
        <w:t>-Foam for Enhanced Supercapacitor Applications</w:t>
      </w:r>
      <w:r w:rsidR="00D355BA">
        <w:rPr>
          <w:rFonts w:ascii="Times New Roman" w:hAnsi="Times New Roman" w:cs="Times New Roman"/>
          <w:b/>
          <w:bCs/>
          <w:sz w:val="24"/>
          <w:szCs w:val="24"/>
        </w:rPr>
        <w:t>.</w:t>
      </w:r>
    </w:p>
    <w:p w:rsidR="003D0C38" w:rsidRPr="000E7778" w:rsidRDefault="003D0C38" w:rsidP="00D355BA">
      <w:pPr>
        <w:jc w:val="center"/>
        <w:rPr>
          <w:rFonts w:ascii="Times New Roman" w:hAnsi="Times New Roman" w:cs="Times New Roman"/>
          <w:b/>
          <w:bCs/>
          <w:sz w:val="24"/>
          <w:szCs w:val="24"/>
        </w:rPr>
      </w:pPr>
      <w:r w:rsidRPr="000E7778">
        <w:rPr>
          <w:rFonts w:ascii="Times New Roman" w:hAnsi="Times New Roman" w:cs="Times New Roman"/>
          <w:b/>
          <w:bCs/>
          <w:sz w:val="24"/>
          <w:szCs w:val="24"/>
        </w:rPr>
        <w:t>ABSTRACT</w:t>
      </w:r>
    </w:p>
    <w:p w:rsidR="003D0C38" w:rsidRPr="001239A2" w:rsidRDefault="003D0C38" w:rsidP="003D0C38">
      <w:pPr>
        <w:jc w:val="center"/>
        <w:rPr>
          <w:rFonts w:ascii="Times New Roman" w:hAnsi="Times New Roman" w:cs="Times New Roman"/>
          <w:sz w:val="24"/>
          <w:szCs w:val="24"/>
          <w:lang w:val="en-US"/>
        </w:rPr>
      </w:pPr>
      <w:r w:rsidRPr="00EA017F">
        <w:rPr>
          <w:rFonts w:ascii="Times New Roman" w:hAnsi="Times New Roman" w:cs="Times New Roman"/>
          <w:sz w:val="24"/>
          <w:szCs w:val="24"/>
          <w:vertAlign w:val="superscript"/>
          <w:lang w:val="en-US"/>
        </w:rPr>
        <w:t>1</w:t>
      </w:r>
      <w:r w:rsidRPr="00EA017F">
        <w:rPr>
          <w:rFonts w:ascii="Times New Roman" w:hAnsi="Times New Roman" w:cs="Times New Roman"/>
          <w:sz w:val="24"/>
          <w:szCs w:val="24"/>
          <w:lang w:val="en-US"/>
        </w:rPr>
        <w:t>Madhabi</w:t>
      </w:r>
      <w:r w:rsidR="00EA017F" w:rsidRPr="00EA017F">
        <w:rPr>
          <w:rFonts w:ascii="Times New Roman" w:hAnsi="Times New Roman" w:cs="Times New Roman"/>
          <w:sz w:val="24"/>
          <w:szCs w:val="24"/>
          <w:lang w:val="en-US"/>
        </w:rPr>
        <w:t xml:space="preserve"> </w:t>
      </w:r>
      <w:r w:rsidRPr="00EA017F">
        <w:rPr>
          <w:rFonts w:ascii="Times New Roman" w:hAnsi="Times New Roman" w:cs="Times New Roman"/>
          <w:sz w:val="24"/>
          <w:szCs w:val="24"/>
          <w:lang w:val="en-US"/>
        </w:rPr>
        <w:t>Konwar</w:t>
      </w:r>
      <w:r w:rsidR="00202E91" w:rsidRPr="00EA017F">
        <w:rPr>
          <w:rFonts w:ascii="Times New Roman" w:hAnsi="Times New Roman" w:cs="Times New Roman"/>
          <w:sz w:val="24"/>
          <w:szCs w:val="24"/>
          <w:lang w:val="en-US"/>
        </w:rPr>
        <w:t xml:space="preserve">, </w:t>
      </w:r>
      <w:r w:rsidRPr="00202E91">
        <w:rPr>
          <w:rFonts w:ascii="Times New Roman" w:hAnsi="Times New Roman" w:cs="Times New Roman"/>
          <w:sz w:val="24"/>
          <w:szCs w:val="24"/>
          <w:vertAlign w:val="superscript"/>
          <w:lang w:val="en-US"/>
        </w:rPr>
        <w:t>2</w:t>
      </w:r>
      <w:r w:rsidRPr="00202E91">
        <w:rPr>
          <w:rFonts w:ascii="Times New Roman" w:hAnsi="Times New Roman" w:cs="Times New Roman"/>
          <w:sz w:val="24"/>
          <w:szCs w:val="24"/>
          <w:lang w:val="en-US"/>
        </w:rPr>
        <w:t>Dr</w:t>
      </w:r>
      <w:r w:rsidRPr="001239A2">
        <w:rPr>
          <w:rFonts w:ascii="Times New Roman" w:hAnsi="Times New Roman" w:cs="Times New Roman"/>
          <w:sz w:val="24"/>
          <w:szCs w:val="24"/>
          <w:lang w:val="en-US"/>
        </w:rPr>
        <w:t xml:space="preserve">. </w:t>
      </w:r>
      <w:proofErr w:type="spellStart"/>
      <w:r w:rsidRPr="001239A2">
        <w:rPr>
          <w:rFonts w:ascii="Times New Roman" w:hAnsi="Times New Roman" w:cs="Times New Roman"/>
          <w:sz w:val="24"/>
          <w:szCs w:val="24"/>
          <w:lang w:val="en-US"/>
        </w:rPr>
        <w:t>Lakhya</w:t>
      </w:r>
      <w:proofErr w:type="spellEnd"/>
      <w:r w:rsidRPr="001239A2">
        <w:rPr>
          <w:rFonts w:ascii="Times New Roman" w:hAnsi="Times New Roman" w:cs="Times New Roman"/>
          <w:sz w:val="24"/>
          <w:szCs w:val="24"/>
          <w:lang w:val="en-US"/>
        </w:rPr>
        <w:t xml:space="preserve"> Jyoti </w:t>
      </w:r>
      <w:proofErr w:type="spellStart"/>
      <w:r w:rsidRPr="001239A2">
        <w:rPr>
          <w:rFonts w:ascii="Times New Roman" w:hAnsi="Times New Roman" w:cs="Times New Roman"/>
          <w:sz w:val="24"/>
          <w:szCs w:val="24"/>
          <w:lang w:val="en-US"/>
        </w:rPr>
        <w:t>Borthakur</w:t>
      </w:r>
      <w:proofErr w:type="spellEnd"/>
    </w:p>
    <w:p w:rsidR="003D0C38" w:rsidRPr="000E3190" w:rsidRDefault="003D0C38" w:rsidP="003D0C38">
      <w:pPr>
        <w:pStyle w:val="Normal1"/>
        <w:tabs>
          <w:tab w:val="left" w:pos="0"/>
          <w:tab w:val="left" w:pos="4540"/>
        </w:tabs>
        <w:spacing w:line="360" w:lineRule="auto"/>
        <w:jc w:val="both"/>
        <w:rPr>
          <w:iCs/>
          <w:sz w:val="24"/>
          <w:szCs w:val="24"/>
        </w:rPr>
      </w:pPr>
      <w:r w:rsidRPr="000E3190">
        <w:rPr>
          <w:iCs/>
          <w:sz w:val="24"/>
          <w:szCs w:val="24"/>
          <w:vertAlign w:val="superscript"/>
        </w:rPr>
        <w:t>1</w:t>
      </w:r>
      <w:r w:rsidRPr="000E3190">
        <w:rPr>
          <w:iCs/>
          <w:sz w:val="24"/>
          <w:szCs w:val="24"/>
        </w:rPr>
        <w:t xml:space="preserve">Department of Chemistry, </w:t>
      </w:r>
      <w:proofErr w:type="spellStart"/>
      <w:r w:rsidRPr="000E3190">
        <w:rPr>
          <w:iCs/>
          <w:sz w:val="24"/>
          <w:szCs w:val="24"/>
        </w:rPr>
        <w:t>Gauhati</w:t>
      </w:r>
      <w:proofErr w:type="spellEnd"/>
      <w:r w:rsidRPr="000E3190">
        <w:rPr>
          <w:iCs/>
          <w:sz w:val="24"/>
          <w:szCs w:val="24"/>
        </w:rPr>
        <w:t xml:space="preserve"> University, Guwahati, Assam, 781014, India</w:t>
      </w:r>
    </w:p>
    <w:p w:rsidR="003D0C38" w:rsidRPr="000E3190" w:rsidRDefault="003D0C38" w:rsidP="003D0C38">
      <w:pPr>
        <w:pStyle w:val="Normal1"/>
        <w:tabs>
          <w:tab w:val="left" w:pos="401"/>
          <w:tab w:val="left" w:pos="4540"/>
        </w:tabs>
        <w:spacing w:line="360" w:lineRule="auto"/>
        <w:jc w:val="both"/>
        <w:rPr>
          <w:iCs/>
          <w:color w:val="000000"/>
          <w:sz w:val="24"/>
          <w:szCs w:val="24"/>
        </w:rPr>
      </w:pPr>
      <w:r w:rsidRPr="000E3190">
        <w:rPr>
          <w:iCs/>
          <w:color w:val="000000"/>
          <w:sz w:val="24"/>
          <w:szCs w:val="24"/>
          <w:vertAlign w:val="superscript"/>
        </w:rPr>
        <w:t>2</w:t>
      </w:r>
      <w:r w:rsidRPr="000E3190">
        <w:rPr>
          <w:iCs/>
          <w:color w:val="000000"/>
          <w:sz w:val="24"/>
          <w:szCs w:val="24"/>
        </w:rPr>
        <w:t xml:space="preserve">Department of Chemistry, </w:t>
      </w:r>
      <w:proofErr w:type="spellStart"/>
      <w:r w:rsidRPr="000E3190">
        <w:rPr>
          <w:iCs/>
          <w:color w:val="000000"/>
          <w:sz w:val="24"/>
          <w:szCs w:val="24"/>
        </w:rPr>
        <w:t>Nowgong</w:t>
      </w:r>
      <w:proofErr w:type="spellEnd"/>
      <w:r w:rsidRPr="000E3190">
        <w:rPr>
          <w:iCs/>
          <w:color w:val="000000"/>
          <w:sz w:val="24"/>
          <w:szCs w:val="24"/>
        </w:rPr>
        <w:t xml:space="preserve"> College, Nag</w:t>
      </w:r>
      <w:r w:rsidR="00401C9A">
        <w:rPr>
          <w:iCs/>
          <w:color w:val="000000"/>
          <w:sz w:val="24"/>
          <w:szCs w:val="24"/>
        </w:rPr>
        <w:t>ao</w:t>
      </w:r>
      <w:r w:rsidRPr="000E3190">
        <w:rPr>
          <w:iCs/>
          <w:color w:val="000000"/>
          <w:sz w:val="24"/>
          <w:szCs w:val="24"/>
        </w:rPr>
        <w:t>n, Assam, 782001, India</w:t>
      </w:r>
    </w:p>
    <w:p w:rsidR="003D0C38" w:rsidRPr="000E3190" w:rsidRDefault="003D0C38" w:rsidP="003D0C38">
      <w:pPr>
        <w:pStyle w:val="Normal1"/>
        <w:tabs>
          <w:tab w:val="left" w:pos="401"/>
          <w:tab w:val="left" w:pos="4540"/>
        </w:tabs>
        <w:spacing w:line="360" w:lineRule="auto"/>
        <w:jc w:val="both"/>
        <w:rPr>
          <w:iCs/>
          <w:color w:val="000000"/>
          <w:sz w:val="24"/>
          <w:szCs w:val="24"/>
        </w:rPr>
      </w:pPr>
      <w:r w:rsidRPr="000E3190">
        <w:rPr>
          <w:iCs/>
          <w:color w:val="000000"/>
          <w:sz w:val="24"/>
          <w:szCs w:val="24"/>
        </w:rPr>
        <w:t>lakhyab@gmail.com</w:t>
      </w:r>
    </w:p>
    <w:p w:rsidR="00B64A99" w:rsidRPr="0019424E" w:rsidRDefault="003D0C38" w:rsidP="00B64A99">
      <w:pPr>
        <w:pStyle w:val="Normal1"/>
        <w:tabs>
          <w:tab w:val="left" w:pos="401"/>
          <w:tab w:val="left" w:pos="4540"/>
        </w:tabs>
        <w:spacing w:line="360" w:lineRule="auto"/>
        <w:jc w:val="both"/>
        <w:rPr>
          <w:bCs/>
          <w:color w:val="000000"/>
          <w:sz w:val="24"/>
          <w:szCs w:val="24"/>
        </w:rPr>
      </w:pPr>
      <w:r w:rsidRPr="0019424E">
        <w:rPr>
          <w:rFonts w:eastAsia="Calibri"/>
          <w:bCs/>
          <w:sz w:val="24"/>
          <w:szCs w:val="24"/>
        </w:rPr>
        <w:t xml:space="preserve">The progress of sustainable and </w:t>
      </w:r>
      <w:r w:rsidR="00AC6F0B">
        <w:rPr>
          <w:rFonts w:eastAsia="Calibri"/>
          <w:bCs/>
          <w:sz w:val="24"/>
          <w:szCs w:val="24"/>
        </w:rPr>
        <w:t>eco-friendly</w:t>
      </w:r>
      <w:r w:rsidRPr="0019424E">
        <w:rPr>
          <w:rFonts w:eastAsia="Calibri"/>
          <w:bCs/>
          <w:sz w:val="24"/>
          <w:szCs w:val="24"/>
        </w:rPr>
        <w:t xml:space="preserve"> energy storage and conversion devices have great attention </w:t>
      </w:r>
      <w:r w:rsidR="0015235D">
        <w:rPr>
          <w:rFonts w:eastAsia="Calibri"/>
          <w:bCs/>
          <w:sz w:val="24"/>
          <w:szCs w:val="24"/>
        </w:rPr>
        <w:t>nowadays</w:t>
      </w:r>
      <w:r w:rsidRPr="0019424E">
        <w:rPr>
          <w:rFonts w:eastAsia="Calibri"/>
          <w:bCs/>
          <w:sz w:val="24"/>
          <w:szCs w:val="24"/>
        </w:rPr>
        <w:t xml:space="preserve">. Among different energy storage devices </w:t>
      </w:r>
      <w:r w:rsidR="00AC6F0B">
        <w:rPr>
          <w:rFonts w:eastAsia="Calibri"/>
          <w:bCs/>
          <w:sz w:val="24"/>
          <w:szCs w:val="24"/>
        </w:rPr>
        <w:t>supercapacitors</w:t>
      </w:r>
      <w:r w:rsidR="003C697C" w:rsidRPr="0019424E">
        <w:rPr>
          <w:rFonts w:eastAsia="Calibri"/>
          <w:bCs/>
          <w:sz w:val="24"/>
          <w:szCs w:val="24"/>
        </w:rPr>
        <w:t xml:space="preserve"> </w:t>
      </w:r>
      <w:r w:rsidR="001239A2" w:rsidRPr="0019424E">
        <w:rPr>
          <w:rFonts w:eastAsia="Calibri"/>
          <w:bCs/>
          <w:sz w:val="24"/>
          <w:szCs w:val="24"/>
        </w:rPr>
        <w:t>(SCs)</w:t>
      </w:r>
      <w:r w:rsidRPr="0019424E">
        <w:rPr>
          <w:rFonts w:eastAsia="Calibri"/>
          <w:bCs/>
          <w:sz w:val="24"/>
          <w:szCs w:val="24"/>
        </w:rPr>
        <w:t xml:space="preserve"> are attracted tremendous attention due to their novel features such as rapid charging-discharging rate, high power density, long cycle life, and high dynamic of charge propagation.</w:t>
      </w:r>
      <w:r w:rsidR="0004280F" w:rsidRPr="0019424E">
        <w:rPr>
          <w:bCs/>
          <w:sz w:val="24"/>
          <w:szCs w:val="24"/>
        </w:rPr>
        <w:t xml:space="preserve"> However, </w:t>
      </w:r>
      <w:r w:rsidR="00C41D3C">
        <w:rPr>
          <w:bCs/>
          <w:sz w:val="24"/>
          <w:szCs w:val="24"/>
        </w:rPr>
        <w:t xml:space="preserve">due to </w:t>
      </w:r>
      <w:r w:rsidR="0004280F" w:rsidRPr="0019424E">
        <w:rPr>
          <w:bCs/>
          <w:sz w:val="24"/>
          <w:szCs w:val="24"/>
        </w:rPr>
        <w:t xml:space="preserve">the relatively lower energy density SCs </w:t>
      </w:r>
      <w:r w:rsidR="00C41D3C">
        <w:rPr>
          <w:bCs/>
          <w:sz w:val="24"/>
          <w:szCs w:val="24"/>
        </w:rPr>
        <w:t xml:space="preserve">have limited </w:t>
      </w:r>
      <w:r w:rsidR="0004280F" w:rsidRPr="0019424E">
        <w:rPr>
          <w:bCs/>
          <w:sz w:val="24"/>
          <w:szCs w:val="24"/>
        </w:rPr>
        <w:t>end applications</w:t>
      </w:r>
      <w:r w:rsidR="00C41D3C">
        <w:rPr>
          <w:bCs/>
          <w:sz w:val="24"/>
          <w:szCs w:val="24"/>
        </w:rPr>
        <w:t xml:space="preserve"> in comparison to batteries and fuel </w:t>
      </w:r>
      <w:r w:rsidR="007D031C">
        <w:rPr>
          <w:bCs/>
          <w:sz w:val="24"/>
          <w:szCs w:val="24"/>
        </w:rPr>
        <w:t>cells.</w:t>
      </w:r>
      <w:r w:rsidR="0004280F" w:rsidRPr="0019424E">
        <w:rPr>
          <w:bCs/>
          <w:sz w:val="24"/>
          <w:szCs w:val="24"/>
        </w:rPr>
        <w:t xml:space="preserve"> </w:t>
      </w:r>
      <w:r w:rsidR="00C41D3C">
        <w:rPr>
          <w:bCs/>
          <w:sz w:val="24"/>
          <w:szCs w:val="24"/>
        </w:rPr>
        <w:t>Therefore,</w:t>
      </w:r>
      <w:r w:rsidR="0004280F" w:rsidRPr="0019424E">
        <w:rPr>
          <w:bCs/>
          <w:sz w:val="24"/>
          <w:szCs w:val="24"/>
        </w:rPr>
        <w:t xml:space="preserve"> designing asymmetric supercapacitors (ASCs) with aqueous electrolytes has been considered a promising strategy to </w:t>
      </w:r>
      <w:r w:rsidR="00C41D3C">
        <w:rPr>
          <w:bCs/>
          <w:sz w:val="24"/>
          <w:szCs w:val="24"/>
        </w:rPr>
        <w:t>increase</w:t>
      </w:r>
      <w:r w:rsidR="0004280F" w:rsidRPr="0019424E">
        <w:rPr>
          <w:bCs/>
          <w:sz w:val="24"/>
          <w:szCs w:val="24"/>
        </w:rPr>
        <w:t xml:space="preserve"> the energy density of SCs.</w:t>
      </w:r>
      <w:r w:rsidR="0004280F" w:rsidRPr="0019424E">
        <w:rPr>
          <w:rFonts w:eastAsia="Calibri"/>
          <w:bCs/>
          <w:sz w:val="24"/>
          <w:szCs w:val="24"/>
        </w:rPr>
        <w:t xml:space="preserve"> </w:t>
      </w:r>
      <w:r w:rsidRPr="0019424E">
        <w:rPr>
          <w:rFonts w:eastAsia="Calibri"/>
          <w:bCs/>
          <w:sz w:val="24"/>
          <w:szCs w:val="24"/>
        </w:rPr>
        <w:t xml:space="preserve"> Electrode materials are one of the most important components in </w:t>
      </w:r>
      <w:r w:rsidR="003C697C" w:rsidRPr="0019424E">
        <w:rPr>
          <w:rFonts w:eastAsia="Calibri"/>
          <w:bCs/>
          <w:sz w:val="24"/>
          <w:szCs w:val="24"/>
        </w:rPr>
        <w:t>SC</w:t>
      </w:r>
      <w:r w:rsidRPr="0019424E">
        <w:rPr>
          <w:rFonts w:eastAsia="Calibri"/>
          <w:bCs/>
          <w:sz w:val="24"/>
          <w:szCs w:val="24"/>
        </w:rPr>
        <w:t xml:space="preserve">s and the overall performance of </w:t>
      </w:r>
      <w:r w:rsidR="003C697C" w:rsidRPr="0019424E">
        <w:rPr>
          <w:rFonts w:eastAsia="Calibri"/>
          <w:bCs/>
          <w:sz w:val="24"/>
          <w:szCs w:val="24"/>
        </w:rPr>
        <w:t>SCs</w:t>
      </w:r>
      <w:r w:rsidR="00A31401" w:rsidRPr="0019424E">
        <w:rPr>
          <w:rFonts w:eastAsia="Calibri"/>
          <w:bCs/>
          <w:sz w:val="24"/>
          <w:szCs w:val="24"/>
        </w:rPr>
        <w:t xml:space="preserve"> </w:t>
      </w:r>
      <w:r w:rsidRPr="0019424E">
        <w:rPr>
          <w:rFonts w:eastAsia="Calibri"/>
          <w:bCs/>
          <w:sz w:val="24"/>
          <w:szCs w:val="24"/>
        </w:rPr>
        <w:t>very much depends on the active electrode material used. Carbon-based material</w:t>
      </w:r>
      <w:r w:rsidR="00C41D3C">
        <w:rPr>
          <w:rFonts w:eastAsia="Calibri"/>
          <w:bCs/>
          <w:sz w:val="24"/>
          <w:szCs w:val="24"/>
        </w:rPr>
        <w:t>s</w:t>
      </w:r>
      <w:r w:rsidRPr="0019424E">
        <w:rPr>
          <w:rFonts w:eastAsia="Calibri"/>
          <w:bCs/>
          <w:sz w:val="24"/>
          <w:szCs w:val="24"/>
        </w:rPr>
        <w:t xml:space="preserve">, especially graphene is a promising electrode </w:t>
      </w:r>
      <w:r w:rsidR="009238E0">
        <w:rPr>
          <w:rFonts w:eastAsia="Calibri"/>
          <w:bCs/>
          <w:sz w:val="24"/>
          <w:szCs w:val="24"/>
        </w:rPr>
        <w:t>material</w:t>
      </w:r>
      <w:r w:rsidRPr="0019424E">
        <w:rPr>
          <w:rFonts w:eastAsia="Calibri"/>
          <w:bCs/>
          <w:sz w:val="24"/>
          <w:szCs w:val="24"/>
        </w:rPr>
        <w:t xml:space="preserve"> due to </w:t>
      </w:r>
      <w:r w:rsidR="009238E0">
        <w:rPr>
          <w:rFonts w:eastAsia="Calibri"/>
          <w:bCs/>
          <w:sz w:val="24"/>
          <w:szCs w:val="24"/>
        </w:rPr>
        <w:t>their</w:t>
      </w:r>
      <w:r w:rsidRPr="0019424E">
        <w:rPr>
          <w:rFonts w:eastAsia="Calibri"/>
          <w:bCs/>
          <w:sz w:val="24"/>
          <w:szCs w:val="24"/>
        </w:rPr>
        <w:t xml:space="preserve"> excellent conductivity, large surface area, </w:t>
      </w:r>
      <w:r w:rsidR="00AC6F0B">
        <w:rPr>
          <w:rFonts w:eastAsia="Calibri"/>
          <w:bCs/>
          <w:sz w:val="24"/>
          <w:szCs w:val="24"/>
        </w:rPr>
        <w:t>long-term</w:t>
      </w:r>
      <w:r w:rsidRPr="0019424E">
        <w:rPr>
          <w:rFonts w:eastAsia="Calibri"/>
          <w:bCs/>
          <w:sz w:val="24"/>
          <w:szCs w:val="24"/>
        </w:rPr>
        <w:t xml:space="preserve"> stability and great processing flexibility. However, </w:t>
      </w:r>
      <w:r w:rsidR="00F5050F">
        <w:rPr>
          <w:rFonts w:eastAsia="Calibri"/>
          <w:bCs/>
          <w:sz w:val="24"/>
          <w:szCs w:val="24"/>
        </w:rPr>
        <w:t>some challenges remain</w:t>
      </w:r>
      <w:r w:rsidRPr="0019424E">
        <w:rPr>
          <w:rFonts w:eastAsia="Calibri"/>
          <w:bCs/>
          <w:sz w:val="24"/>
          <w:szCs w:val="24"/>
        </w:rPr>
        <w:t xml:space="preserve"> with graphene due to its stacking and self-agglomeration </w:t>
      </w:r>
      <w:r w:rsidR="00F5050F">
        <w:rPr>
          <w:rFonts w:eastAsia="Calibri"/>
          <w:bCs/>
          <w:sz w:val="24"/>
          <w:szCs w:val="24"/>
        </w:rPr>
        <w:t>behavior</w:t>
      </w:r>
      <w:r w:rsidRPr="0019424E">
        <w:rPr>
          <w:rFonts w:eastAsia="Calibri"/>
          <w:bCs/>
          <w:sz w:val="24"/>
          <w:szCs w:val="24"/>
        </w:rPr>
        <w:t>. Graphene is often combined with other materials like Transition metal oxides (TMOs), Transition metal sulfides (TMSs), carbon nanotubes (CNT), metal dichalcogenides etc. to form composite so that the agglomeration of graphene nanosheets be hindered.  TMS</w:t>
      </w:r>
      <w:r w:rsidR="00AC6F0B">
        <w:rPr>
          <w:rFonts w:eastAsia="Calibri"/>
          <w:bCs/>
          <w:sz w:val="24"/>
          <w:szCs w:val="24"/>
        </w:rPr>
        <w:t>s</w:t>
      </w:r>
      <w:r w:rsidRPr="0019424E">
        <w:rPr>
          <w:rFonts w:eastAsia="Calibri"/>
          <w:bCs/>
          <w:sz w:val="24"/>
          <w:szCs w:val="24"/>
        </w:rPr>
        <w:t xml:space="preserve"> are regarded as an extensively used electrode material owing to their excellent cycling stability, high energy density, low cost, admirable conductivity </w:t>
      </w:r>
      <w:r w:rsidR="00AC6F0B">
        <w:rPr>
          <w:rFonts w:eastAsia="Calibri"/>
          <w:bCs/>
          <w:sz w:val="24"/>
          <w:szCs w:val="24"/>
        </w:rPr>
        <w:t xml:space="preserve">and </w:t>
      </w:r>
      <w:r w:rsidRPr="0019424E">
        <w:rPr>
          <w:rFonts w:eastAsia="Calibri"/>
          <w:bCs/>
          <w:sz w:val="24"/>
          <w:szCs w:val="24"/>
        </w:rPr>
        <w:t xml:space="preserve">high theoretical specific capacitance. To overcome the restacking tendency of graphene it is combined with different TMS nanomaterials with synergistic </w:t>
      </w:r>
      <w:r w:rsidR="00AC6F0B">
        <w:rPr>
          <w:rFonts w:eastAsia="Calibri"/>
          <w:bCs/>
          <w:sz w:val="24"/>
          <w:szCs w:val="24"/>
        </w:rPr>
        <w:t>effects</w:t>
      </w:r>
      <w:r w:rsidRPr="0019424E">
        <w:rPr>
          <w:rFonts w:eastAsia="Calibri"/>
          <w:bCs/>
          <w:sz w:val="24"/>
          <w:szCs w:val="24"/>
        </w:rPr>
        <w:t xml:space="preserve"> leading to enhance electrochemical performance. </w:t>
      </w:r>
      <w:r w:rsidR="00B64A99" w:rsidRPr="0019424E">
        <w:rPr>
          <w:bCs/>
          <w:sz w:val="24"/>
          <w:szCs w:val="24"/>
        </w:rPr>
        <w:t xml:space="preserve">In this work, we report </w:t>
      </w:r>
      <w:r w:rsidR="00F65D9D">
        <w:rPr>
          <w:bCs/>
          <w:sz w:val="24"/>
          <w:szCs w:val="24"/>
        </w:rPr>
        <w:t xml:space="preserve">the </w:t>
      </w:r>
      <w:r w:rsidR="00B64A99" w:rsidRPr="0019424E">
        <w:rPr>
          <w:bCs/>
          <w:sz w:val="24"/>
          <w:szCs w:val="24"/>
        </w:rPr>
        <w:t xml:space="preserve">ultrafast </w:t>
      </w:r>
      <w:r w:rsidR="00F65D9D">
        <w:rPr>
          <w:bCs/>
          <w:sz w:val="24"/>
          <w:szCs w:val="24"/>
        </w:rPr>
        <w:t>microwave-assisted</w:t>
      </w:r>
      <w:r w:rsidR="00C41D3C">
        <w:rPr>
          <w:bCs/>
          <w:sz w:val="24"/>
          <w:szCs w:val="24"/>
        </w:rPr>
        <w:t xml:space="preserve"> </w:t>
      </w:r>
      <w:r w:rsidR="00B64A99" w:rsidRPr="0019424E">
        <w:rPr>
          <w:bCs/>
          <w:sz w:val="24"/>
          <w:szCs w:val="24"/>
        </w:rPr>
        <w:t>synthesis of</w:t>
      </w:r>
      <w:r w:rsidR="00B64A99" w:rsidRPr="0019424E">
        <w:rPr>
          <w:bCs/>
          <w:sz w:val="28"/>
          <w:szCs w:val="28"/>
        </w:rPr>
        <w:t xml:space="preserve"> </w:t>
      </w:r>
      <w:r w:rsidR="00AD05E4">
        <w:rPr>
          <w:bCs/>
          <w:sz w:val="24"/>
          <w:szCs w:val="24"/>
        </w:rPr>
        <w:t>reduc</w:t>
      </w:r>
      <w:r w:rsidR="008627CF" w:rsidRPr="0019424E">
        <w:rPr>
          <w:bCs/>
          <w:sz w:val="24"/>
          <w:szCs w:val="24"/>
        </w:rPr>
        <w:t xml:space="preserve">ed </w:t>
      </w:r>
      <w:r w:rsidR="00F65D9D">
        <w:rPr>
          <w:bCs/>
          <w:sz w:val="24"/>
          <w:szCs w:val="24"/>
        </w:rPr>
        <w:t>graphene-zinc</w:t>
      </w:r>
      <w:r w:rsidR="00B64A99" w:rsidRPr="0019424E">
        <w:rPr>
          <w:bCs/>
          <w:sz w:val="24"/>
          <w:szCs w:val="24"/>
        </w:rPr>
        <w:t xml:space="preserve"> cobalt sulfide</w:t>
      </w:r>
      <w:r w:rsidR="008627CF" w:rsidRPr="0019424E">
        <w:rPr>
          <w:bCs/>
          <w:sz w:val="24"/>
          <w:szCs w:val="24"/>
        </w:rPr>
        <w:t xml:space="preserve"> </w:t>
      </w:r>
      <w:r w:rsidR="00B64A99" w:rsidRPr="0019424E">
        <w:rPr>
          <w:bCs/>
          <w:sz w:val="24"/>
          <w:szCs w:val="24"/>
        </w:rPr>
        <w:t>composite</w:t>
      </w:r>
      <w:r w:rsidR="00C41D3C">
        <w:rPr>
          <w:bCs/>
          <w:sz w:val="24"/>
          <w:szCs w:val="24"/>
        </w:rPr>
        <w:t xml:space="preserve">. </w:t>
      </w:r>
      <w:r w:rsidR="00B64A99" w:rsidRPr="0019424E">
        <w:rPr>
          <w:bCs/>
          <w:sz w:val="24"/>
          <w:szCs w:val="24"/>
        </w:rPr>
        <w:t xml:space="preserve"> </w:t>
      </w:r>
      <w:r w:rsidR="00C41D3C">
        <w:rPr>
          <w:bCs/>
          <w:sz w:val="24"/>
          <w:szCs w:val="24"/>
        </w:rPr>
        <w:t xml:space="preserve">The synthetic procedure takes significantly lesser time than conventional methods and </w:t>
      </w:r>
      <w:r w:rsidR="00F65D9D">
        <w:rPr>
          <w:bCs/>
          <w:sz w:val="24"/>
          <w:szCs w:val="24"/>
        </w:rPr>
        <w:t xml:space="preserve">is </w:t>
      </w:r>
      <w:r w:rsidR="00C41D3C">
        <w:rPr>
          <w:bCs/>
          <w:sz w:val="24"/>
          <w:szCs w:val="24"/>
        </w:rPr>
        <w:t xml:space="preserve">hence benign both environmentally as well as economically.  The synthesized </w:t>
      </w:r>
      <w:r w:rsidR="00B92C03">
        <w:rPr>
          <w:bCs/>
          <w:sz w:val="24"/>
          <w:szCs w:val="24"/>
        </w:rPr>
        <w:t>composites</w:t>
      </w:r>
      <w:r w:rsidR="00C41D3C">
        <w:rPr>
          <w:bCs/>
          <w:sz w:val="24"/>
          <w:szCs w:val="24"/>
        </w:rPr>
        <w:t xml:space="preserve"> </w:t>
      </w:r>
      <w:r w:rsidR="00B64A99" w:rsidRPr="0019424E">
        <w:rPr>
          <w:bCs/>
          <w:sz w:val="24"/>
          <w:szCs w:val="24"/>
        </w:rPr>
        <w:t>show enhanced electrochemical performance due to the synergistic effect</w:t>
      </w:r>
      <w:r w:rsidR="00C41D3C">
        <w:rPr>
          <w:bCs/>
          <w:sz w:val="24"/>
          <w:szCs w:val="24"/>
        </w:rPr>
        <w:t xml:space="preserve"> between </w:t>
      </w:r>
      <w:r w:rsidR="007D031C">
        <w:rPr>
          <w:bCs/>
          <w:sz w:val="24"/>
          <w:szCs w:val="24"/>
        </w:rPr>
        <w:t>graphene and zinc cobalt sul</w:t>
      </w:r>
      <w:r w:rsidR="00B92C03">
        <w:rPr>
          <w:bCs/>
          <w:sz w:val="24"/>
          <w:szCs w:val="24"/>
        </w:rPr>
        <w:t>f</w:t>
      </w:r>
      <w:r w:rsidR="007D031C">
        <w:rPr>
          <w:bCs/>
          <w:sz w:val="24"/>
          <w:szCs w:val="24"/>
        </w:rPr>
        <w:t>ide nanoparticles</w:t>
      </w:r>
      <w:r w:rsidR="00B64A99" w:rsidRPr="0019424E">
        <w:rPr>
          <w:bCs/>
          <w:sz w:val="24"/>
          <w:szCs w:val="24"/>
        </w:rPr>
        <w:t xml:space="preserve">. </w:t>
      </w:r>
      <w:r w:rsidR="007D031C">
        <w:rPr>
          <w:bCs/>
          <w:sz w:val="24"/>
          <w:szCs w:val="24"/>
        </w:rPr>
        <w:t xml:space="preserve">The </w:t>
      </w:r>
      <w:r w:rsidR="007D031C" w:rsidRPr="0019424E">
        <w:rPr>
          <w:bCs/>
          <w:sz w:val="24"/>
          <w:szCs w:val="24"/>
        </w:rPr>
        <w:t>ASC</w:t>
      </w:r>
      <w:r w:rsidR="007D031C" w:rsidRPr="0019424E">
        <w:rPr>
          <w:bCs/>
          <w:sz w:val="24"/>
          <w:szCs w:val="24"/>
        </w:rPr>
        <w:t xml:space="preserve"> </w:t>
      </w:r>
      <w:r w:rsidR="007D031C">
        <w:rPr>
          <w:bCs/>
          <w:sz w:val="24"/>
          <w:szCs w:val="24"/>
        </w:rPr>
        <w:t xml:space="preserve">fabricated with these electrodes exhibits superior </w:t>
      </w:r>
      <w:r w:rsidR="00B64A99" w:rsidRPr="0019424E">
        <w:rPr>
          <w:bCs/>
          <w:sz w:val="24"/>
          <w:szCs w:val="24"/>
        </w:rPr>
        <w:t xml:space="preserve">performance with high energy and power density and </w:t>
      </w:r>
      <w:r w:rsidR="007D031C">
        <w:rPr>
          <w:bCs/>
          <w:sz w:val="24"/>
          <w:szCs w:val="24"/>
        </w:rPr>
        <w:t xml:space="preserve">have </w:t>
      </w:r>
      <w:r w:rsidR="00B64A99" w:rsidRPr="0019424E">
        <w:rPr>
          <w:bCs/>
          <w:sz w:val="24"/>
          <w:szCs w:val="24"/>
        </w:rPr>
        <w:t xml:space="preserve">excellent cycling performance.  </w:t>
      </w:r>
    </w:p>
    <w:p w:rsidR="003D0C38" w:rsidRPr="0019424E" w:rsidRDefault="003D0C38" w:rsidP="003D0C38">
      <w:pPr>
        <w:spacing w:after="200" w:line="360" w:lineRule="auto"/>
        <w:jc w:val="both"/>
        <w:rPr>
          <w:rFonts w:ascii="Times New Roman" w:eastAsia="Calibri" w:hAnsi="Times New Roman" w:cs="Times New Roman"/>
          <w:bCs/>
          <w:sz w:val="24"/>
          <w:szCs w:val="24"/>
          <w:lang w:val="en-US"/>
        </w:rPr>
      </w:pPr>
      <w:r w:rsidRPr="0019424E">
        <w:rPr>
          <w:rFonts w:ascii="Times New Roman" w:eastAsia="Calibri" w:hAnsi="Times New Roman" w:cs="Times New Roman"/>
          <w:bCs/>
          <w:sz w:val="24"/>
          <w:szCs w:val="24"/>
          <w:lang w:val="en-US"/>
        </w:rPr>
        <w:t>Key words: Supercapacitor, flexibility, Fabrication, Nanocomposite.</w:t>
      </w:r>
    </w:p>
    <w:sectPr w:rsidR="003D0C38" w:rsidRPr="00194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C4C"/>
    <w:rsid w:val="0004280F"/>
    <w:rsid w:val="000E3190"/>
    <w:rsid w:val="000E7778"/>
    <w:rsid w:val="001239A2"/>
    <w:rsid w:val="0015235D"/>
    <w:rsid w:val="00177EC2"/>
    <w:rsid w:val="0019424E"/>
    <w:rsid w:val="00202E91"/>
    <w:rsid w:val="00293E20"/>
    <w:rsid w:val="002C692F"/>
    <w:rsid w:val="00354662"/>
    <w:rsid w:val="003C697C"/>
    <w:rsid w:val="003D0C38"/>
    <w:rsid w:val="00401C9A"/>
    <w:rsid w:val="00406AD8"/>
    <w:rsid w:val="004B4FA8"/>
    <w:rsid w:val="005B4C4C"/>
    <w:rsid w:val="006D4282"/>
    <w:rsid w:val="007D031C"/>
    <w:rsid w:val="008627CF"/>
    <w:rsid w:val="008A4AF3"/>
    <w:rsid w:val="009238E0"/>
    <w:rsid w:val="0096120D"/>
    <w:rsid w:val="009B3157"/>
    <w:rsid w:val="00A31401"/>
    <w:rsid w:val="00AC6F0B"/>
    <w:rsid w:val="00AD05E4"/>
    <w:rsid w:val="00B64A99"/>
    <w:rsid w:val="00B80B47"/>
    <w:rsid w:val="00B92C03"/>
    <w:rsid w:val="00BF6185"/>
    <w:rsid w:val="00C41D3C"/>
    <w:rsid w:val="00D24777"/>
    <w:rsid w:val="00D355BA"/>
    <w:rsid w:val="00D7451A"/>
    <w:rsid w:val="00EA017F"/>
    <w:rsid w:val="00F47181"/>
    <w:rsid w:val="00F5050F"/>
    <w:rsid w:val="00F65D9D"/>
    <w:rsid w:val="00FC388A"/>
    <w:rsid w:val="00FE3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F505"/>
  <w15:chartTrackingRefBased/>
  <w15:docId w15:val="{97FD52B0-877E-47A8-8690-5C686464F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C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D0C38"/>
    <w:pPr>
      <w:widowControl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353</Words>
  <Characters>2328</Characters>
  <Application>Microsoft Office Word</Application>
  <DocSecurity>0</DocSecurity>
  <Lines>38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Madhabi Konwar</dc:creator>
  <cp:keywords/>
  <dc:description/>
  <cp:lastModifiedBy>Madhabi Konwar</cp:lastModifiedBy>
  <cp:revision>49</cp:revision>
  <dcterms:created xsi:type="dcterms:W3CDTF">2023-03-29T05:55:00Z</dcterms:created>
  <dcterms:modified xsi:type="dcterms:W3CDTF">2023-04-11T08:47:00Z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3b4eea7c-d995-4903-810d-cf5f7ee7b988</vt:lpwstr>
  </property>
</Properties>
</file>