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F40A" w14:textId="32A88050" w:rsidR="00362133" w:rsidRPr="00362133" w:rsidRDefault="00362133" w:rsidP="00362133">
      <w:pPr>
        <w:spacing w:line="240" w:lineRule="auto"/>
        <w:jc w:val="center"/>
        <w:rPr>
          <w:rFonts w:ascii="Times New Roman" w:hAnsi="Times New Roman" w:cs="Times New Roman"/>
          <w:b/>
          <w:bCs/>
          <w:kern w:val="2"/>
          <w:sz w:val="20"/>
          <w:szCs w:val="20"/>
          <w14:ligatures w14:val="standardContextual"/>
        </w:rPr>
      </w:pPr>
      <w:r w:rsidRPr="00362133">
        <w:rPr>
          <w:rFonts w:ascii="Times New Roman" w:hAnsi="Times New Roman" w:cs="Times New Roman"/>
          <w:b/>
          <w:bCs/>
          <w:kern w:val="2"/>
          <w:sz w:val="20"/>
          <w:szCs w:val="20"/>
          <w14:ligatures w14:val="standardContextual"/>
        </w:rPr>
        <w:t>Effect of CO</w:t>
      </w:r>
      <w:r w:rsidRPr="00F32A31">
        <w:rPr>
          <w:rFonts w:ascii="Times New Roman" w:hAnsi="Times New Roman" w:cs="Times New Roman"/>
          <w:b/>
          <w:bCs/>
          <w:kern w:val="2"/>
          <w:sz w:val="20"/>
          <w:szCs w:val="20"/>
          <w:vertAlign w:val="subscript"/>
          <w14:ligatures w14:val="standardContextual"/>
        </w:rPr>
        <w:t>2</w:t>
      </w:r>
      <w:r w:rsidRPr="00362133">
        <w:rPr>
          <w:rFonts w:ascii="Times New Roman" w:hAnsi="Times New Roman" w:cs="Times New Roman"/>
          <w:b/>
          <w:bCs/>
          <w:kern w:val="2"/>
          <w:sz w:val="20"/>
          <w:szCs w:val="20"/>
          <w14:ligatures w14:val="standardContextual"/>
        </w:rPr>
        <w:t xml:space="preserve"> </w:t>
      </w:r>
      <w:r w:rsidR="00F32A31">
        <w:rPr>
          <w:rFonts w:ascii="Times New Roman" w:hAnsi="Times New Roman" w:cs="Times New Roman"/>
          <w:b/>
          <w:bCs/>
          <w:kern w:val="2"/>
          <w:sz w:val="20"/>
          <w:szCs w:val="20"/>
          <w14:ligatures w14:val="standardContextual"/>
        </w:rPr>
        <w:t>Injection</w:t>
      </w:r>
      <w:r w:rsidRPr="00362133">
        <w:rPr>
          <w:rFonts w:ascii="Times New Roman" w:hAnsi="Times New Roman" w:cs="Times New Roman"/>
          <w:b/>
          <w:bCs/>
          <w:kern w:val="2"/>
          <w:sz w:val="20"/>
          <w:szCs w:val="20"/>
          <w14:ligatures w14:val="standardContextual"/>
        </w:rPr>
        <w:t xml:space="preserve"> on </w:t>
      </w:r>
      <w:r w:rsidR="00F32A31">
        <w:rPr>
          <w:rFonts w:ascii="Times New Roman" w:hAnsi="Times New Roman" w:cs="Times New Roman"/>
          <w:b/>
          <w:bCs/>
          <w:kern w:val="2"/>
          <w:sz w:val="20"/>
          <w:szCs w:val="20"/>
          <w14:ligatures w14:val="standardContextual"/>
        </w:rPr>
        <w:t>R</w:t>
      </w:r>
      <w:r w:rsidRPr="00362133">
        <w:rPr>
          <w:rFonts w:ascii="Times New Roman" w:hAnsi="Times New Roman" w:cs="Times New Roman"/>
          <w:b/>
          <w:bCs/>
          <w:kern w:val="2"/>
          <w:sz w:val="20"/>
          <w:szCs w:val="20"/>
          <w14:ligatures w14:val="standardContextual"/>
        </w:rPr>
        <w:t xml:space="preserve">eservoir </w:t>
      </w:r>
      <w:r w:rsidR="00F32A31">
        <w:rPr>
          <w:rFonts w:ascii="Times New Roman" w:hAnsi="Times New Roman" w:cs="Times New Roman"/>
          <w:b/>
          <w:bCs/>
          <w:kern w:val="2"/>
          <w:sz w:val="20"/>
          <w:szCs w:val="20"/>
          <w14:ligatures w14:val="standardContextual"/>
        </w:rPr>
        <w:t>R</w:t>
      </w:r>
      <w:r w:rsidRPr="00362133">
        <w:rPr>
          <w:rFonts w:ascii="Times New Roman" w:hAnsi="Times New Roman" w:cs="Times New Roman"/>
          <w:b/>
          <w:bCs/>
          <w:kern w:val="2"/>
          <w:sz w:val="20"/>
          <w:szCs w:val="20"/>
          <w14:ligatures w14:val="standardContextual"/>
        </w:rPr>
        <w:t xml:space="preserve">ock </w:t>
      </w:r>
      <w:r w:rsidR="00F32A31">
        <w:rPr>
          <w:rFonts w:ascii="Times New Roman" w:hAnsi="Times New Roman" w:cs="Times New Roman"/>
          <w:b/>
          <w:bCs/>
          <w:kern w:val="2"/>
          <w:sz w:val="20"/>
          <w:szCs w:val="20"/>
          <w14:ligatures w14:val="standardContextual"/>
        </w:rPr>
        <w:t>P</w:t>
      </w:r>
      <w:r w:rsidRPr="00362133">
        <w:rPr>
          <w:rFonts w:ascii="Times New Roman" w:hAnsi="Times New Roman" w:cs="Times New Roman"/>
          <w:b/>
          <w:bCs/>
          <w:kern w:val="2"/>
          <w:sz w:val="20"/>
          <w:szCs w:val="20"/>
          <w14:ligatures w14:val="standardContextual"/>
        </w:rPr>
        <w:t>roperties</w:t>
      </w:r>
    </w:p>
    <w:p w14:paraId="7BBEFCCB" w14:textId="27D6D7B0" w:rsidR="00362133" w:rsidRPr="00362133" w:rsidRDefault="00362133" w:rsidP="00362133">
      <w:pPr>
        <w:spacing w:line="240" w:lineRule="auto"/>
        <w:jc w:val="center"/>
        <w:rPr>
          <w:rFonts w:ascii="Times New Roman" w:hAnsi="Times New Roman" w:cs="Times New Roman"/>
          <w:kern w:val="2"/>
          <w:sz w:val="20"/>
          <w:szCs w:val="20"/>
          <w14:ligatures w14:val="standardContextual"/>
        </w:rPr>
      </w:pPr>
      <w:r w:rsidRPr="00362133">
        <w:rPr>
          <w:rFonts w:ascii="Times New Roman" w:hAnsi="Times New Roman" w:cs="Times New Roman"/>
          <w:kern w:val="2"/>
          <w:sz w:val="20"/>
          <w:szCs w:val="20"/>
          <w:u w:val="single"/>
          <w14:ligatures w14:val="standardContextual"/>
        </w:rPr>
        <w:t xml:space="preserve">Deeptangshu Chetia </w:t>
      </w:r>
      <w:bookmarkStart w:id="0" w:name="_Hlk133316494"/>
      <w:r w:rsidRPr="00362133">
        <w:rPr>
          <w:rFonts w:ascii="Times New Roman" w:hAnsi="Times New Roman" w:cs="Times New Roman"/>
          <w:kern w:val="2"/>
          <w:sz w:val="20"/>
          <w:szCs w:val="20"/>
          <w:u w:val="single"/>
          <w14:ligatures w14:val="standardContextual"/>
        </w:rPr>
        <w:t>Phukan</w:t>
      </w:r>
      <w:r w:rsidRPr="00362133">
        <w:rPr>
          <w:rFonts w:ascii="Times New Roman" w:hAnsi="Times New Roman" w:cs="Times New Roman"/>
          <w:kern w:val="2"/>
          <w:sz w:val="20"/>
          <w:szCs w:val="20"/>
          <w:vertAlign w:val="superscript"/>
          <w14:ligatures w14:val="standardContextual"/>
        </w:rPr>
        <w:t>1</w:t>
      </w:r>
      <w:r w:rsidR="00F32A31">
        <w:rPr>
          <w:rFonts w:ascii="Times New Roman" w:hAnsi="Times New Roman" w:cs="Times New Roman"/>
          <w:kern w:val="2"/>
          <w:sz w:val="20"/>
          <w:szCs w:val="20"/>
          <w:vertAlign w:val="superscript"/>
          <w14:ligatures w14:val="standardContextual"/>
        </w:rPr>
        <w:t>, *</w:t>
      </w:r>
      <w:r w:rsidRPr="00362133">
        <w:rPr>
          <w:rFonts w:ascii="Times New Roman" w:hAnsi="Times New Roman" w:cs="Times New Roman"/>
          <w:kern w:val="2"/>
          <w:sz w:val="20"/>
          <w:szCs w:val="20"/>
          <w14:ligatures w14:val="standardContextual"/>
        </w:rPr>
        <w:t>, Dr. Ranjan Phukan</w:t>
      </w:r>
      <w:proofErr w:type="gramStart"/>
      <w:r w:rsidR="00F32A31">
        <w:rPr>
          <w:rFonts w:ascii="Times New Roman" w:hAnsi="Times New Roman" w:cs="Times New Roman"/>
          <w:kern w:val="2"/>
          <w:sz w:val="20"/>
          <w:szCs w:val="20"/>
          <w:vertAlign w:val="superscript"/>
          <w14:ligatures w14:val="standardContextual"/>
        </w:rPr>
        <w:t>1,*</w:t>
      </w:r>
      <w:proofErr w:type="gramEnd"/>
    </w:p>
    <w:p w14:paraId="68F4FDCA" w14:textId="2C45C196" w:rsidR="00362133" w:rsidRPr="00362133" w:rsidRDefault="00362133" w:rsidP="00362133">
      <w:pPr>
        <w:spacing w:line="240" w:lineRule="auto"/>
        <w:jc w:val="center"/>
        <w:rPr>
          <w:rFonts w:ascii="Times New Roman" w:hAnsi="Times New Roman" w:cs="Times New Roman"/>
          <w:kern w:val="2"/>
          <w:sz w:val="20"/>
          <w:szCs w:val="20"/>
          <w14:ligatures w14:val="standardContextual"/>
        </w:rPr>
      </w:pPr>
      <w:r w:rsidRPr="00362133">
        <w:rPr>
          <w:rFonts w:ascii="Times New Roman" w:hAnsi="Times New Roman" w:cs="Times New Roman"/>
          <w:kern w:val="2"/>
          <w:sz w:val="20"/>
          <w:szCs w:val="20"/>
          <w:vertAlign w:val="superscript"/>
          <w14:ligatures w14:val="standardContextual"/>
        </w:rPr>
        <w:t xml:space="preserve">1 </w:t>
      </w:r>
      <w:r w:rsidRPr="00362133">
        <w:rPr>
          <w:rFonts w:ascii="Times New Roman" w:hAnsi="Times New Roman" w:cs="Times New Roman"/>
          <w:kern w:val="2"/>
          <w:sz w:val="20"/>
          <w:szCs w:val="20"/>
          <w14:ligatures w14:val="standardContextual"/>
        </w:rPr>
        <w:t>Department of Petroleum Technology, Dibrugarh University, Dibrugarh Assam</w:t>
      </w:r>
    </w:p>
    <w:bookmarkEnd w:id="0"/>
    <w:p w14:paraId="2478CB7A" w14:textId="6E46C347" w:rsidR="00F32A31" w:rsidRDefault="00362133" w:rsidP="00F32A31">
      <w:pPr>
        <w:spacing w:after="0" w:line="240" w:lineRule="auto"/>
        <w:jc w:val="center"/>
        <w:rPr>
          <w:rFonts w:ascii="Times New Roman" w:hAnsi="Times New Roman" w:cs="Times New Roman"/>
          <w:kern w:val="2"/>
          <w:sz w:val="20"/>
          <w:szCs w:val="20"/>
          <w:vertAlign w:val="superscript"/>
          <w14:ligatures w14:val="standardContextual"/>
        </w:rPr>
      </w:pPr>
      <w:r w:rsidRPr="00362133">
        <w:rPr>
          <w:rFonts w:ascii="Times New Roman" w:hAnsi="Times New Roman" w:cs="Times New Roman"/>
          <w:kern w:val="2"/>
          <w:sz w:val="20"/>
          <w:szCs w:val="20"/>
          <w14:ligatures w14:val="standardContextual"/>
        </w:rPr>
        <w:t>Email:</w:t>
      </w:r>
      <w:r w:rsidR="00F32A31">
        <w:rPr>
          <w:rFonts w:ascii="Times New Roman" w:hAnsi="Times New Roman" w:cs="Times New Roman"/>
          <w:kern w:val="2"/>
          <w:sz w:val="20"/>
          <w:szCs w:val="20"/>
          <w:vertAlign w:val="superscript"/>
          <w14:ligatures w14:val="standardContextual"/>
        </w:rPr>
        <w:t xml:space="preserve"> </w:t>
      </w:r>
      <w:r w:rsidR="00F32A31">
        <w:rPr>
          <w:rFonts w:ascii="Times New Roman" w:hAnsi="Times New Roman" w:cs="Times New Roman"/>
          <w:color w:val="0563C1" w:themeColor="hyperlink"/>
          <w:kern w:val="2"/>
          <w:sz w:val="20"/>
          <w:szCs w:val="20"/>
          <w:u w:val="single"/>
          <w14:ligatures w14:val="standardContextual"/>
        </w:rPr>
        <w:t xml:space="preserve"> </w:t>
      </w:r>
      <w:hyperlink r:id="rId6" w:history="1">
        <w:r w:rsidR="00F32A31" w:rsidRPr="00C5042C">
          <w:rPr>
            <w:rStyle w:val="Hyperlink"/>
            <w:rFonts w:ascii="Times New Roman" w:hAnsi="Times New Roman" w:cs="Times New Roman"/>
            <w:kern w:val="2"/>
            <w:sz w:val="20"/>
            <w:szCs w:val="20"/>
            <w14:ligatures w14:val="standardContextual"/>
          </w:rPr>
          <w:t>deeptangshu333@gmail.com</w:t>
        </w:r>
      </w:hyperlink>
      <w:proofErr w:type="gramStart"/>
      <w:r w:rsidR="00F32A31">
        <w:rPr>
          <w:rFonts w:ascii="Times New Roman" w:hAnsi="Times New Roman" w:cs="Times New Roman"/>
          <w:color w:val="0563C1" w:themeColor="hyperlink"/>
          <w:kern w:val="2"/>
          <w:sz w:val="20"/>
          <w:szCs w:val="20"/>
          <w:u w:val="single"/>
          <w14:ligatures w14:val="standardContextual"/>
        </w:rPr>
        <w:t xml:space="preserve">   (</w:t>
      </w:r>
      <w:proofErr w:type="gramEnd"/>
      <w:r w:rsidR="00F32A31">
        <w:rPr>
          <w:rFonts w:ascii="Times New Roman" w:hAnsi="Times New Roman" w:cs="Times New Roman"/>
          <w:color w:val="0563C1" w:themeColor="hyperlink"/>
          <w:kern w:val="2"/>
          <w:sz w:val="20"/>
          <w:szCs w:val="20"/>
          <w:u w:val="single"/>
          <w14:ligatures w14:val="standardContextual"/>
        </w:rPr>
        <w:t>D Chetia Phukan)</w:t>
      </w:r>
      <w:r w:rsidRPr="00362133">
        <w:rPr>
          <w:rFonts w:ascii="Times New Roman" w:hAnsi="Times New Roman" w:cs="Times New Roman"/>
          <w:kern w:val="2"/>
          <w:sz w:val="20"/>
          <w:szCs w:val="20"/>
          <w14:ligatures w14:val="standardContextual"/>
        </w:rPr>
        <w:t xml:space="preserve">, </w:t>
      </w:r>
    </w:p>
    <w:p w14:paraId="19B92CF0" w14:textId="4011703A" w:rsidR="00362133" w:rsidRDefault="00F32A31" w:rsidP="00F32A31">
      <w:pPr>
        <w:spacing w:after="0" w:line="276" w:lineRule="auto"/>
        <w:rPr>
          <w:rFonts w:ascii="Times New Roman" w:hAnsi="Times New Roman" w:cs="Times New Roman"/>
          <w:color w:val="0563C1" w:themeColor="hyperlink"/>
          <w:kern w:val="2"/>
          <w:sz w:val="20"/>
          <w:szCs w:val="20"/>
          <w:u w:val="single"/>
          <w14:ligatures w14:val="standardContextual"/>
        </w:rPr>
      </w:pPr>
      <w:r>
        <w:rPr>
          <w:rFonts w:ascii="Times New Roman" w:hAnsi="Times New Roman" w:cs="Times New Roman"/>
          <w:kern w:val="2"/>
          <w:sz w:val="20"/>
          <w:szCs w:val="20"/>
          <w:vertAlign w:val="superscript"/>
          <w14:ligatures w14:val="standardContextual"/>
        </w:rPr>
        <w:t xml:space="preserve">                                                                                                        </w:t>
      </w:r>
      <w:hyperlink r:id="rId7" w:history="1">
        <w:r w:rsidRPr="00C5042C">
          <w:rPr>
            <w:rStyle w:val="Hyperlink"/>
            <w:rFonts w:ascii="Times New Roman" w:hAnsi="Times New Roman" w:cs="Times New Roman"/>
            <w:kern w:val="2"/>
            <w:sz w:val="20"/>
            <w:szCs w:val="20"/>
            <w14:ligatures w14:val="standardContextual"/>
          </w:rPr>
          <w:t>r.phukan@dibru.ac.in</w:t>
        </w:r>
      </w:hyperlink>
      <w:proofErr w:type="gramStart"/>
      <w:r>
        <w:rPr>
          <w:rFonts w:ascii="Times New Roman" w:hAnsi="Times New Roman" w:cs="Times New Roman"/>
          <w:color w:val="0563C1" w:themeColor="hyperlink"/>
          <w:kern w:val="2"/>
          <w:sz w:val="20"/>
          <w:szCs w:val="20"/>
          <w:u w:val="single"/>
          <w14:ligatures w14:val="standardContextual"/>
        </w:rPr>
        <w:t xml:space="preserve">   (</w:t>
      </w:r>
      <w:proofErr w:type="gramEnd"/>
      <w:r>
        <w:rPr>
          <w:rFonts w:ascii="Times New Roman" w:hAnsi="Times New Roman" w:cs="Times New Roman"/>
          <w:color w:val="0563C1" w:themeColor="hyperlink"/>
          <w:kern w:val="2"/>
          <w:sz w:val="20"/>
          <w:szCs w:val="20"/>
          <w:u w:val="single"/>
          <w14:ligatures w14:val="standardContextual"/>
        </w:rPr>
        <w:t>R Phukan</w:t>
      </w:r>
    </w:p>
    <w:p w14:paraId="448FD808" w14:textId="77777777" w:rsidR="00F32A31" w:rsidRPr="00362133" w:rsidRDefault="00F32A31" w:rsidP="00F32A31">
      <w:pPr>
        <w:spacing w:after="0" w:line="276" w:lineRule="auto"/>
        <w:rPr>
          <w:rFonts w:ascii="Times New Roman" w:hAnsi="Times New Roman" w:cs="Times New Roman"/>
          <w:kern w:val="2"/>
          <w:sz w:val="20"/>
          <w:szCs w:val="20"/>
          <w14:ligatures w14:val="standardContextual"/>
        </w:rPr>
      </w:pPr>
    </w:p>
    <w:p w14:paraId="6FFDC502" w14:textId="553F641E" w:rsidR="00362133" w:rsidRPr="00362133" w:rsidRDefault="00362133" w:rsidP="00362133">
      <w:pPr>
        <w:spacing w:line="240" w:lineRule="auto"/>
        <w:jc w:val="center"/>
        <w:rPr>
          <w:rFonts w:ascii="Times New Roman" w:hAnsi="Times New Roman" w:cs="Times New Roman"/>
          <w:b/>
          <w:bCs/>
          <w:kern w:val="2"/>
          <w:sz w:val="20"/>
          <w:szCs w:val="20"/>
          <w14:ligatures w14:val="standardContextual"/>
        </w:rPr>
      </w:pPr>
      <w:r w:rsidRPr="00362133">
        <w:rPr>
          <w:rFonts w:ascii="Times New Roman" w:hAnsi="Times New Roman" w:cs="Times New Roman"/>
          <w:b/>
          <w:bCs/>
          <w:kern w:val="2"/>
          <w:sz w:val="20"/>
          <w:szCs w:val="20"/>
          <w14:ligatures w14:val="standardContextual"/>
        </w:rPr>
        <w:t>Abstract</w:t>
      </w:r>
    </w:p>
    <w:p w14:paraId="757BC50D" w14:textId="4903258B" w:rsidR="00362133" w:rsidRPr="00362133" w:rsidRDefault="00362133" w:rsidP="00362133">
      <w:pPr>
        <w:spacing w:line="240" w:lineRule="auto"/>
        <w:jc w:val="both"/>
        <w:rPr>
          <w:rFonts w:ascii="Times New Roman" w:hAnsi="Times New Roman" w:cs="Times New Roman"/>
          <w:b/>
          <w:bCs/>
          <w:kern w:val="2"/>
          <w:sz w:val="20"/>
          <w:szCs w:val="20"/>
          <w14:ligatures w14:val="standardContextual"/>
        </w:rPr>
      </w:pPr>
      <w:r w:rsidRPr="00362133">
        <w:rPr>
          <w:rFonts w:ascii="Times New Roman" w:hAnsi="Times New Roman" w:cs="Times New Roman"/>
          <w:kern w:val="2"/>
          <w:sz w:val="20"/>
          <w:szCs w:val="20"/>
          <w14:ligatures w14:val="standardContextual"/>
        </w:rPr>
        <w:t>This study aims to experimentally investigate the reservoir rock samples after injection of anthropogenic carbon dioxide. Petrophysical and Mineralogical investigations will be carried out before and after exposing the reservoir core samples along with synthetic formation brine in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in a high-pressure vessel. Change in physical properties like porosity, permeability and chemical properties influencing injectivity, storage capacity as well as future possibility of injecting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as a long-term safety measure will monitor. XRD, thin section analysis will also be done in the sample before and after the injection to investigate the mineralogical changes. The study also aims to measure the contact angle of the samples using sessile drop method before and after the injection of Carbon Dioxide. Solubility and Mineral trapping of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also contribute enough to measure the storage capacity of the reservoir. Thus, mineral storage capacity will be established from the mineral content of reservoir rock i.e., XRD data and numerical calculations. In addition, the storage capacity of the reservoirs by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solubility in formation brine and residual oil will be evaluated similarly.</w:t>
      </w:r>
    </w:p>
    <w:p w14:paraId="28437025" w14:textId="68FE26E7" w:rsidR="00362133" w:rsidRPr="00362133" w:rsidRDefault="00362133" w:rsidP="00362133">
      <w:pPr>
        <w:spacing w:line="240" w:lineRule="auto"/>
        <w:jc w:val="both"/>
        <w:rPr>
          <w:rFonts w:ascii="Times New Roman" w:hAnsi="Times New Roman" w:cs="Times New Roman"/>
          <w:kern w:val="2"/>
          <w:sz w:val="20"/>
          <w:szCs w:val="20"/>
          <w14:ligatures w14:val="standardContextual"/>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9174B4F" wp14:editId="1A85913A">
                <wp:simplePos x="0" y="0"/>
                <wp:positionH relativeFrom="column">
                  <wp:posOffset>3803016</wp:posOffset>
                </wp:positionH>
                <wp:positionV relativeFrom="paragraph">
                  <wp:posOffset>1250950</wp:posOffset>
                </wp:positionV>
                <wp:extent cx="5882640" cy="236220"/>
                <wp:effectExtent l="3810" t="0" r="7620" b="0"/>
                <wp:wrapNone/>
                <wp:docPr id="1738114133" name="Text Box 3"/>
                <wp:cNvGraphicFramePr/>
                <a:graphic xmlns:a="http://schemas.openxmlformats.org/drawingml/2006/main">
                  <a:graphicData uri="http://schemas.microsoft.com/office/word/2010/wordprocessingShape">
                    <wps:wsp>
                      <wps:cNvSpPr txBox="1"/>
                      <wps:spPr>
                        <a:xfrm rot="16200000">
                          <a:off x="0" y="0"/>
                          <a:ext cx="5882640" cy="236220"/>
                        </a:xfrm>
                        <a:prstGeom prst="rect">
                          <a:avLst/>
                        </a:prstGeom>
                        <a:noFill/>
                        <a:ln w="6350">
                          <a:noFill/>
                        </a:ln>
                      </wps:spPr>
                      <wps:txbx>
                        <w:txbxContent>
                          <w:p w14:paraId="3E5C8113" w14:textId="77777777" w:rsidR="00CE43EF" w:rsidRDefault="00CE43EF" w:rsidP="00CE43EF">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p w14:paraId="7DD08A31" w14:textId="77777777" w:rsidR="00CE43EF" w:rsidRDefault="00CE43EF" w:rsidP="00CE4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74B4F" id="_x0000_t202" coordsize="21600,21600" o:spt="202" path="m,l,21600r21600,l21600,xe">
                <v:stroke joinstyle="miter"/>
                <v:path gradientshapeok="t" o:connecttype="rect"/>
              </v:shapetype>
              <v:shape id="Text Box 3" o:spid="_x0000_s1026" type="#_x0000_t202" style="position:absolute;left:0;text-align:left;margin-left:299.45pt;margin-top:98.5pt;width:463.2pt;height:18.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" filled="f" stroked="f" strokeweight=".5pt">
                <v:textbox>
                  <w:txbxContent>
                    <w:p w14:paraId="3E5C8113" w14:textId="77777777" w:rsidR="00CE43EF" w:rsidRDefault="00CE43EF" w:rsidP="00CE43EF">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p w14:paraId="7DD08A31" w14:textId="77777777" w:rsidR="00CE43EF" w:rsidRDefault="00CE43EF" w:rsidP="00CE43EF"/>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076B200" wp14:editId="14401DC6">
                <wp:simplePos x="0" y="0"/>
                <wp:positionH relativeFrom="column">
                  <wp:posOffset>-3237865</wp:posOffset>
                </wp:positionH>
                <wp:positionV relativeFrom="paragraph">
                  <wp:posOffset>1035685</wp:posOffset>
                </wp:positionV>
                <wp:extent cx="5882640" cy="236220"/>
                <wp:effectExtent l="3810" t="0" r="7620" b="0"/>
                <wp:wrapNone/>
                <wp:docPr id="737082802" name="Text Box 3"/>
                <wp:cNvGraphicFramePr/>
                <a:graphic xmlns:a="http://schemas.openxmlformats.org/drawingml/2006/main">
                  <a:graphicData uri="http://schemas.microsoft.com/office/word/2010/wordprocessingShape">
                    <wps:wsp>
                      <wps:cNvSpPr txBox="1"/>
                      <wps:spPr>
                        <a:xfrm rot="16200000">
                          <a:off x="0" y="0"/>
                          <a:ext cx="5882640" cy="236220"/>
                        </a:xfrm>
                        <a:prstGeom prst="rect">
                          <a:avLst/>
                        </a:prstGeom>
                        <a:noFill/>
                        <a:ln w="6350">
                          <a:noFill/>
                        </a:ln>
                      </wps:spPr>
                      <wps:txbx>
                        <w:txbxContent>
                          <w:p w14:paraId="79B841D4" w14:textId="77777777" w:rsidR="00CE43EF" w:rsidRDefault="00CE43EF" w:rsidP="00CE43EF">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p w14:paraId="18771F14" w14:textId="77777777" w:rsidR="00CE43EF" w:rsidRDefault="00CE4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6B200" id="_x0000_s1027" type="#_x0000_t202" style="position:absolute;left:0;text-align:left;margin-left:-254.95pt;margin-top:81.55pt;width:463.2pt;height:18.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" filled="f" stroked="f" strokeweight=".5pt">
                <v:textbox>
                  <w:txbxContent>
                    <w:p w14:paraId="79B841D4" w14:textId="77777777" w:rsidR="00CE43EF" w:rsidRDefault="00CE43EF" w:rsidP="00CE43EF">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p w14:paraId="18771F14" w14:textId="77777777" w:rsidR="00CE43EF" w:rsidRDefault="00CE43EF"/>
                  </w:txbxContent>
                </v:textbox>
              </v:shape>
            </w:pict>
          </mc:Fallback>
        </mc:AlternateContent>
      </w:r>
      <w:r w:rsidRPr="00362133">
        <w:rPr>
          <w:rFonts w:ascii="Times New Roman" w:hAnsi="Times New Roman" w:cs="Times New Roman"/>
          <w:kern w:val="2"/>
          <w:sz w:val="20"/>
          <w:szCs w:val="20"/>
          <w14:ligatures w14:val="standardContextual"/>
        </w:rPr>
        <w:t xml:space="preserve">In this study the core samples were collected from Lower </w:t>
      </w:r>
      <w:proofErr w:type="spellStart"/>
      <w:r w:rsidRPr="00362133">
        <w:rPr>
          <w:rFonts w:ascii="Times New Roman" w:hAnsi="Times New Roman" w:cs="Times New Roman"/>
          <w:kern w:val="2"/>
          <w:sz w:val="20"/>
          <w:szCs w:val="20"/>
          <w14:ligatures w14:val="standardContextual"/>
        </w:rPr>
        <w:t>Barail</w:t>
      </w:r>
      <w:proofErr w:type="spellEnd"/>
      <w:r w:rsidRPr="00362133">
        <w:rPr>
          <w:rFonts w:ascii="Times New Roman" w:hAnsi="Times New Roman" w:cs="Times New Roman"/>
          <w:kern w:val="2"/>
          <w:sz w:val="20"/>
          <w:szCs w:val="20"/>
          <w14:ligatures w14:val="standardContextual"/>
        </w:rPr>
        <w:t xml:space="preserve"> Sand 5 field of Assam Basin. The core plug was divided into 3 parts of which the core size of .9 cm was used to measure the contact angle i.e., wettability before and after the injection. And the sample which was used for XRD and thin section grinded in a motor and pestle and sieved with mesh size 200-230 ASTM. Broken fragments were selected for the study and split into two subset 1 (untreated) which is used to describe initial minerology and subset 2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treated) use for long term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experiments. They are taken in such a way that there should be minimum heterogeneity between them. For 2 months the samples were stored together with synthetic reservoir brine and anthropogenic CO</w:t>
      </w:r>
      <w:r w:rsidRPr="00362133">
        <w:rPr>
          <w:rFonts w:ascii="Times New Roman" w:hAnsi="Times New Roman" w:cs="Times New Roman"/>
          <w:kern w:val="2"/>
          <w:sz w:val="20"/>
          <w:szCs w:val="20"/>
          <w:vertAlign w:val="subscript"/>
          <w14:ligatures w14:val="standardContextual"/>
        </w:rPr>
        <w:t>2</w:t>
      </w:r>
      <w:r w:rsidRPr="00362133">
        <w:rPr>
          <w:rFonts w:ascii="Times New Roman" w:hAnsi="Times New Roman" w:cs="Times New Roman"/>
          <w:kern w:val="2"/>
          <w:sz w:val="20"/>
          <w:szCs w:val="20"/>
          <w14:ligatures w14:val="standardContextual"/>
        </w:rPr>
        <w:t xml:space="preserve"> in high quality in high quality steel pressure vessels that were placed in a heating cabinet at simulated reservoir conditions. The setup helps to determine petrophysical parameters of the rock, changes in the mineral and structural compositions, and physiochemical alterations of brine were analysed. Table 1 shows some data of LBS 5 provided for the empirical calculations of the solubility and mineral trapping capacities of the reservoir rock. </w:t>
      </w:r>
    </w:p>
    <w:p w14:paraId="3E320EFD" w14:textId="63676155" w:rsidR="00362133" w:rsidRPr="00362133" w:rsidRDefault="00F32A31" w:rsidP="00F32A31">
      <w:pPr>
        <w:spacing w:after="0" w:line="240" w:lineRule="auto"/>
        <w:jc w:val="center"/>
        <w:rPr>
          <w:rFonts w:ascii="Times New Roman" w:hAnsi="Times New Roman" w:cs="Times New Roman"/>
          <w:kern w:val="2"/>
          <w:sz w:val="20"/>
          <w:szCs w:val="20"/>
          <w14:ligatures w14:val="standardContextual"/>
        </w:rPr>
      </w:pPr>
      <w:r w:rsidRPr="00F32A31">
        <w:rPr>
          <w:rFonts w:ascii="Times New Roman" w:hAnsi="Times New Roman" w:cs="Times New Roman"/>
          <w:b/>
          <w:bCs/>
          <w:kern w:val="2"/>
          <w:sz w:val="20"/>
          <w:szCs w:val="20"/>
          <w14:ligatures w14:val="standardContextual"/>
        </w:rPr>
        <w:t>Table 1</w:t>
      </w:r>
      <w:r>
        <w:rPr>
          <w:rFonts w:ascii="Times New Roman" w:hAnsi="Times New Roman" w:cs="Times New Roman"/>
          <w:kern w:val="2"/>
          <w:sz w:val="20"/>
          <w:szCs w:val="20"/>
          <w14:ligatures w14:val="standardContextual"/>
        </w:rPr>
        <w:t>: Reservoir and fluid data of an Assam oilfield</w:t>
      </w:r>
    </w:p>
    <w:tbl>
      <w:tblPr>
        <w:tblStyle w:val="TableGrid"/>
        <w:tblW w:w="5528" w:type="dxa"/>
        <w:jc w:val="center"/>
        <w:tblLook w:val="04A0" w:firstRow="1" w:lastRow="0" w:firstColumn="1" w:lastColumn="0" w:noHBand="0" w:noVBand="1"/>
      </w:tblPr>
      <w:tblGrid>
        <w:gridCol w:w="3260"/>
        <w:gridCol w:w="2268"/>
      </w:tblGrid>
      <w:tr w:rsidR="00362133" w:rsidRPr="00362133" w14:paraId="031594FA" w14:textId="77777777" w:rsidTr="00F32A31">
        <w:trPr>
          <w:trHeight w:val="253"/>
          <w:jc w:val="center"/>
        </w:trPr>
        <w:tc>
          <w:tcPr>
            <w:tcW w:w="3260" w:type="dxa"/>
          </w:tcPr>
          <w:p w14:paraId="2175C7B2"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Original oil in place, </w:t>
            </w:r>
            <w:proofErr w:type="spellStart"/>
            <w:r w:rsidRPr="00362133">
              <w:rPr>
                <w:rFonts w:ascii="Times New Roman" w:hAnsi="Times New Roman" w:cs="Times New Roman"/>
                <w:sz w:val="20"/>
                <w:szCs w:val="20"/>
              </w:rPr>
              <w:t>N</w:t>
            </w:r>
            <w:r w:rsidRPr="00362133">
              <w:rPr>
                <w:rFonts w:ascii="Times New Roman" w:hAnsi="Times New Roman" w:cs="Times New Roman"/>
                <w:sz w:val="20"/>
                <w:szCs w:val="20"/>
                <w:vertAlign w:val="subscript"/>
              </w:rPr>
              <w:t>ooip</w:t>
            </w:r>
            <w:proofErr w:type="spellEnd"/>
          </w:p>
        </w:tc>
        <w:tc>
          <w:tcPr>
            <w:tcW w:w="2268" w:type="dxa"/>
          </w:tcPr>
          <w:p w14:paraId="3E7AAB97"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4.2 </w:t>
            </w:r>
            <w:proofErr w:type="spellStart"/>
            <w:r w:rsidRPr="00362133">
              <w:rPr>
                <w:rFonts w:ascii="Times New Roman" w:hAnsi="Times New Roman" w:cs="Times New Roman"/>
                <w:sz w:val="20"/>
                <w:szCs w:val="20"/>
              </w:rPr>
              <w:t>mMt</w:t>
            </w:r>
            <w:proofErr w:type="spellEnd"/>
          </w:p>
        </w:tc>
      </w:tr>
      <w:tr w:rsidR="00362133" w:rsidRPr="00362133" w14:paraId="7B9AA661" w14:textId="77777777" w:rsidTr="00F32A31">
        <w:trPr>
          <w:trHeight w:val="253"/>
          <w:jc w:val="center"/>
        </w:trPr>
        <w:tc>
          <w:tcPr>
            <w:tcW w:w="3260" w:type="dxa"/>
          </w:tcPr>
          <w:p w14:paraId="6E00FB7B"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API Gravity</w:t>
            </w:r>
          </w:p>
        </w:tc>
        <w:tc>
          <w:tcPr>
            <w:tcW w:w="2268" w:type="dxa"/>
          </w:tcPr>
          <w:p w14:paraId="36BC9486"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35</w:t>
            </w:r>
          </w:p>
        </w:tc>
      </w:tr>
      <w:tr w:rsidR="00362133" w:rsidRPr="00362133" w14:paraId="64FEDF6C" w14:textId="77777777" w:rsidTr="00F32A31">
        <w:trPr>
          <w:trHeight w:val="253"/>
          <w:jc w:val="center"/>
        </w:trPr>
        <w:tc>
          <w:tcPr>
            <w:tcW w:w="3260" w:type="dxa"/>
          </w:tcPr>
          <w:p w14:paraId="76EDBEF0" w14:textId="601F3016"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Original oil volume factor</w:t>
            </w:r>
            <w:r w:rsidR="005C2045">
              <w:rPr>
                <w:rFonts w:ascii="Times New Roman" w:hAnsi="Times New Roman" w:cs="Times New Roman"/>
                <w:sz w:val="20"/>
                <w:szCs w:val="20"/>
              </w:rPr>
              <w:t>,</w:t>
            </w:r>
            <w:r w:rsidRPr="00362133">
              <w:rPr>
                <w:rFonts w:ascii="Times New Roman" w:hAnsi="Times New Roman" w:cs="Times New Roman"/>
                <w:sz w:val="20"/>
                <w:szCs w:val="20"/>
              </w:rPr>
              <w:t xml:space="preserve"> </w:t>
            </w:r>
            <w:proofErr w:type="spellStart"/>
            <w:r w:rsidRPr="00362133">
              <w:rPr>
                <w:rFonts w:ascii="Times New Roman" w:hAnsi="Times New Roman" w:cs="Times New Roman"/>
                <w:sz w:val="20"/>
                <w:szCs w:val="20"/>
              </w:rPr>
              <w:t>B</w:t>
            </w:r>
            <w:r w:rsidRPr="00362133">
              <w:rPr>
                <w:rFonts w:ascii="Times New Roman" w:hAnsi="Times New Roman" w:cs="Times New Roman"/>
                <w:sz w:val="20"/>
                <w:szCs w:val="20"/>
                <w:vertAlign w:val="subscript"/>
              </w:rPr>
              <w:t>oi</w:t>
            </w:r>
            <w:proofErr w:type="spellEnd"/>
          </w:p>
        </w:tc>
        <w:tc>
          <w:tcPr>
            <w:tcW w:w="2268" w:type="dxa"/>
          </w:tcPr>
          <w:p w14:paraId="19C2E604"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1.74</w:t>
            </w:r>
          </w:p>
        </w:tc>
      </w:tr>
      <w:tr w:rsidR="00362133" w:rsidRPr="00362133" w14:paraId="4A3E3E6A" w14:textId="77777777" w:rsidTr="00F32A31">
        <w:trPr>
          <w:trHeight w:val="253"/>
          <w:jc w:val="center"/>
        </w:trPr>
        <w:tc>
          <w:tcPr>
            <w:tcW w:w="3260" w:type="dxa"/>
          </w:tcPr>
          <w:p w14:paraId="20CE2660"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Specific gravity</w:t>
            </w:r>
          </w:p>
        </w:tc>
        <w:tc>
          <w:tcPr>
            <w:tcW w:w="2268" w:type="dxa"/>
          </w:tcPr>
          <w:p w14:paraId="1FA2F92F"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0.853</w:t>
            </w:r>
          </w:p>
        </w:tc>
      </w:tr>
      <w:tr w:rsidR="00362133" w:rsidRPr="00362133" w14:paraId="591AD2C1" w14:textId="77777777" w:rsidTr="00F32A31">
        <w:trPr>
          <w:trHeight w:val="253"/>
          <w:jc w:val="center"/>
        </w:trPr>
        <w:tc>
          <w:tcPr>
            <w:tcW w:w="3260" w:type="dxa"/>
          </w:tcPr>
          <w:p w14:paraId="50ED4724" w14:textId="2A6BBA79" w:rsidR="00362133" w:rsidRPr="00362133" w:rsidRDefault="005C2045" w:rsidP="00362133">
            <w:pPr>
              <w:jc w:val="both"/>
              <w:rPr>
                <w:rFonts w:ascii="Times New Roman" w:hAnsi="Times New Roman" w:cs="Times New Roman"/>
                <w:sz w:val="20"/>
                <w:szCs w:val="20"/>
                <w:vertAlign w:val="subscript"/>
              </w:rPr>
            </w:pPr>
            <w:r>
              <w:rPr>
                <w:rFonts w:ascii="Times New Roman" w:hAnsi="Times New Roman" w:cs="Times New Roman"/>
                <w:sz w:val="20"/>
                <w:szCs w:val="20"/>
              </w:rPr>
              <w:t>Oil recovery factor, R</w:t>
            </w:r>
            <w:r w:rsidR="00415F84">
              <w:rPr>
                <w:rFonts w:ascii="Times New Roman" w:hAnsi="Times New Roman" w:cs="Times New Roman"/>
                <w:sz w:val="20"/>
                <w:szCs w:val="20"/>
                <w:vertAlign w:val="subscript"/>
              </w:rPr>
              <w:t>o</w:t>
            </w:r>
          </w:p>
        </w:tc>
        <w:tc>
          <w:tcPr>
            <w:tcW w:w="2268" w:type="dxa"/>
          </w:tcPr>
          <w:p w14:paraId="39CF19BA" w14:textId="0720FF4B" w:rsidR="00362133" w:rsidRPr="00362133" w:rsidRDefault="005C2045" w:rsidP="00362133">
            <w:pPr>
              <w:jc w:val="both"/>
              <w:rPr>
                <w:rFonts w:ascii="Times New Roman" w:hAnsi="Times New Roman" w:cs="Times New Roman"/>
                <w:sz w:val="20"/>
                <w:szCs w:val="20"/>
              </w:rPr>
            </w:pPr>
            <w:r>
              <w:rPr>
                <w:rFonts w:ascii="Times New Roman" w:hAnsi="Times New Roman" w:cs="Times New Roman"/>
                <w:sz w:val="20"/>
                <w:szCs w:val="20"/>
              </w:rPr>
              <w:t>29.2%</w:t>
            </w:r>
          </w:p>
        </w:tc>
      </w:tr>
      <w:tr w:rsidR="00362133" w:rsidRPr="00362133" w14:paraId="50CA777C" w14:textId="77777777" w:rsidTr="00F32A31">
        <w:trPr>
          <w:trHeight w:val="253"/>
          <w:jc w:val="center"/>
        </w:trPr>
        <w:tc>
          <w:tcPr>
            <w:tcW w:w="3260" w:type="dxa"/>
          </w:tcPr>
          <w:p w14:paraId="75141C50" w14:textId="28C4AC64" w:rsidR="00362133" w:rsidRPr="00362133" w:rsidRDefault="00362133" w:rsidP="00362133">
            <w:pPr>
              <w:jc w:val="both"/>
              <w:rPr>
                <w:rFonts w:ascii="Times New Roman" w:hAnsi="Times New Roman" w:cs="Times New Roman"/>
                <w:sz w:val="20"/>
                <w:szCs w:val="20"/>
                <w:vertAlign w:val="subscript"/>
              </w:rPr>
            </w:pPr>
            <w:r w:rsidRPr="00362133">
              <w:rPr>
                <w:rFonts w:ascii="Times New Roman" w:hAnsi="Times New Roman" w:cs="Times New Roman"/>
                <w:sz w:val="20"/>
                <w:szCs w:val="20"/>
              </w:rPr>
              <w:t>Bubble point pressure</w:t>
            </w:r>
            <w:r w:rsidR="005C2045">
              <w:rPr>
                <w:rFonts w:ascii="Times New Roman" w:hAnsi="Times New Roman" w:cs="Times New Roman"/>
                <w:sz w:val="20"/>
                <w:szCs w:val="20"/>
              </w:rPr>
              <w:t>,</w:t>
            </w:r>
            <w:r w:rsidRPr="00362133">
              <w:rPr>
                <w:rFonts w:ascii="Times New Roman" w:hAnsi="Times New Roman" w:cs="Times New Roman"/>
                <w:sz w:val="20"/>
                <w:szCs w:val="20"/>
              </w:rPr>
              <w:t xml:space="preserve"> P</w:t>
            </w:r>
            <w:r w:rsidRPr="00362133">
              <w:rPr>
                <w:rFonts w:ascii="Times New Roman" w:hAnsi="Times New Roman" w:cs="Times New Roman"/>
                <w:sz w:val="20"/>
                <w:szCs w:val="20"/>
                <w:vertAlign w:val="subscript"/>
              </w:rPr>
              <w:t>b</w:t>
            </w:r>
          </w:p>
        </w:tc>
        <w:tc>
          <w:tcPr>
            <w:tcW w:w="2268" w:type="dxa"/>
          </w:tcPr>
          <w:p w14:paraId="1F8F1FFA"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250 </w:t>
            </w:r>
            <w:proofErr w:type="spellStart"/>
            <w:r w:rsidRPr="00362133">
              <w:rPr>
                <w:rFonts w:ascii="Times New Roman" w:hAnsi="Times New Roman" w:cs="Times New Roman"/>
                <w:sz w:val="20"/>
                <w:szCs w:val="20"/>
              </w:rPr>
              <w:t>ksc</w:t>
            </w:r>
            <w:proofErr w:type="spellEnd"/>
          </w:p>
        </w:tc>
      </w:tr>
      <w:tr w:rsidR="00362133" w:rsidRPr="00362133" w14:paraId="75B359A9" w14:textId="77777777" w:rsidTr="00F32A31">
        <w:trPr>
          <w:trHeight w:val="253"/>
          <w:jc w:val="center"/>
        </w:trPr>
        <w:tc>
          <w:tcPr>
            <w:tcW w:w="3260" w:type="dxa"/>
          </w:tcPr>
          <w:p w14:paraId="0256BCB2" w14:textId="77777777" w:rsidR="00362133" w:rsidRPr="00362133" w:rsidRDefault="00362133" w:rsidP="00362133">
            <w:pPr>
              <w:jc w:val="both"/>
              <w:rPr>
                <w:rFonts w:ascii="Times New Roman" w:hAnsi="Times New Roman" w:cs="Times New Roman"/>
                <w:sz w:val="20"/>
                <w:szCs w:val="20"/>
                <w:vertAlign w:val="subscript"/>
              </w:rPr>
            </w:pPr>
            <w:proofErr w:type="spellStart"/>
            <w:r w:rsidRPr="00362133">
              <w:rPr>
                <w:rFonts w:ascii="Times New Roman" w:hAnsi="Times New Roman" w:cs="Times New Roman"/>
                <w:sz w:val="20"/>
                <w:szCs w:val="20"/>
              </w:rPr>
              <w:t>P</w:t>
            </w:r>
            <w:r w:rsidRPr="00362133">
              <w:rPr>
                <w:rFonts w:ascii="Times New Roman" w:hAnsi="Times New Roman" w:cs="Times New Roman"/>
                <w:sz w:val="20"/>
                <w:szCs w:val="20"/>
                <w:vertAlign w:val="subscript"/>
              </w:rPr>
              <w:t>initial</w:t>
            </w:r>
            <w:proofErr w:type="spellEnd"/>
            <w:r w:rsidRPr="00362133">
              <w:rPr>
                <w:rFonts w:ascii="Times New Roman" w:hAnsi="Times New Roman" w:cs="Times New Roman"/>
                <w:sz w:val="20"/>
                <w:szCs w:val="20"/>
                <w:vertAlign w:val="subscript"/>
              </w:rPr>
              <w:t xml:space="preserve"> </w:t>
            </w:r>
            <w:r w:rsidRPr="00362133">
              <w:rPr>
                <w:rFonts w:ascii="Times New Roman" w:hAnsi="Times New Roman" w:cs="Times New Roman"/>
                <w:sz w:val="20"/>
                <w:szCs w:val="20"/>
                <w:vertAlign w:val="subscript"/>
              </w:rPr>
              <w:softHyphen/>
            </w:r>
            <w:r w:rsidRPr="00362133">
              <w:rPr>
                <w:rFonts w:ascii="Times New Roman" w:hAnsi="Times New Roman" w:cs="Times New Roman"/>
                <w:sz w:val="20"/>
                <w:szCs w:val="20"/>
              </w:rPr>
              <w:t xml:space="preserve">&amp; </w:t>
            </w:r>
            <w:proofErr w:type="spellStart"/>
            <w:r w:rsidRPr="00362133">
              <w:rPr>
                <w:rFonts w:ascii="Times New Roman" w:hAnsi="Times New Roman" w:cs="Times New Roman"/>
                <w:sz w:val="20"/>
                <w:szCs w:val="20"/>
              </w:rPr>
              <w:t>P</w:t>
            </w:r>
            <w:r w:rsidRPr="00362133">
              <w:rPr>
                <w:rFonts w:ascii="Times New Roman" w:hAnsi="Times New Roman" w:cs="Times New Roman"/>
                <w:sz w:val="20"/>
                <w:szCs w:val="20"/>
                <w:vertAlign w:val="subscript"/>
              </w:rPr>
              <w:t>present</w:t>
            </w:r>
            <w:proofErr w:type="spellEnd"/>
            <w:r w:rsidRPr="00362133">
              <w:rPr>
                <w:rFonts w:ascii="Times New Roman" w:hAnsi="Times New Roman" w:cs="Times New Roman"/>
                <w:sz w:val="20"/>
                <w:szCs w:val="20"/>
                <w:vertAlign w:val="subscript"/>
              </w:rPr>
              <w:t xml:space="preserve"> </w:t>
            </w:r>
          </w:p>
        </w:tc>
        <w:tc>
          <w:tcPr>
            <w:tcW w:w="2268" w:type="dxa"/>
          </w:tcPr>
          <w:p w14:paraId="5491BAAD"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356 </w:t>
            </w:r>
            <w:proofErr w:type="spellStart"/>
            <w:r w:rsidRPr="00362133">
              <w:rPr>
                <w:rFonts w:ascii="Times New Roman" w:hAnsi="Times New Roman" w:cs="Times New Roman"/>
                <w:sz w:val="20"/>
                <w:szCs w:val="20"/>
              </w:rPr>
              <w:t>ksc</w:t>
            </w:r>
            <w:proofErr w:type="spellEnd"/>
            <w:r w:rsidRPr="00362133">
              <w:rPr>
                <w:rFonts w:ascii="Times New Roman" w:hAnsi="Times New Roman" w:cs="Times New Roman"/>
                <w:sz w:val="20"/>
                <w:szCs w:val="20"/>
              </w:rPr>
              <w:t xml:space="preserve"> and 160 </w:t>
            </w:r>
            <w:proofErr w:type="spellStart"/>
            <w:r w:rsidRPr="00362133">
              <w:rPr>
                <w:rFonts w:ascii="Times New Roman" w:hAnsi="Times New Roman" w:cs="Times New Roman"/>
                <w:sz w:val="20"/>
                <w:szCs w:val="20"/>
              </w:rPr>
              <w:t>ksc</w:t>
            </w:r>
            <w:proofErr w:type="spellEnd"/>
          </w:p>
        </w:tc>
      </w:tr>
      <w:tr w:rsidR="00362133" w:rsidRPr="00362133" w14:paraId="025E45ED" w14:textId="77777777" w:rsidTr="00F32A31">
        <w:trPr>
          <w:trHeight w:val="253"/>
          <w:jc w:val="center"/>
        </w:trPr>
        <w:tc>
          <w:tcPr>
            <w:tcW w:w="3260" w:type="dxa"/>
          </w:tcPr>
          <w:p w14:paraId="7C839EED"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Reservoir Temperature</w:t>
            </w:r>
          </w:p>
        </w:tc>
        <w:tc>
          <w:tcPr>
            <w:tcW w:w="2268" w:type="dxa"/>
          </w:tcPr>
          <w:p w14:paraId="6074F816" w14:textId="77777777" w:rsidR="00362133" w:rsidRPr="00362133" w:rsidRDefault="00362133" w:rsidP="00362133">
            <w:pPr>
              <w:jc w:val="both"/>
              <w:rPr>
                <w:rFonts w:ascii="Times New Roman" w:hAnsi="Times New Roman" w:cs="Times New Roman"/>
                <w:sz w:val="20"/>
                <w:szCs w:val="20"/>
                <w:vertAlign w:val="superscript"/>
              </w:rPr>
            </w:pPr>
            <w:r w:rsidRPr="00362133">
              <w:rPr>
                <w:rFonts w:ascii="Times New Roman" w:hAnsi="Times New Roman" w:cs="Times New Roman"/>
                <w:sz w:val="20"/>
                <w:szCs w:val="20"/>
              </w:rPr>
              <w:t>100 ℃</w:t>
            </w:r>
          </w:p>
        </w:tc>
      </w:tr>
      <w:tr w:rsidR="00362133" w:rsidRPr="00362133" w14:paraId="5913C5A9" w14:textId="77777777" w:rsidTr="00F32A31">
        <w:trPr>
          <w:trHeight w:val="253"/>
          <w:jc w:val="center"/>
        </w:trPr>
        <w:tc>
          <w:tcPr>
            <w:tcW w:w="3260" w:type="dxa"/>
          </w:tcPr>
          <w:p w14:paraId="75AD5815"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Depth</w:t>
            </w:r>
          </w:p>
        </w:tc>
        <w:tc>
          <w:tcPr>
            <w:tcW w:w="2268" w:type="dxa"/>
          </w:tcPr>
          <w:p w14:paraId="1619064F"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3400 m </w:t>
            </w:r>
          </w:p>
        </w:tc>
      </w:tr>
      <w:tr w:rsidR="00362133" w:rsidRPr="00362133" w14:paraId="363260FA" w14:textId="77777777" w:rsidTr="00F32A31">
        <w:trPr>
          <w:trHeight w:val="253"/>
          <w:jc w:val="center"/>
        </w:trPr>
        <w:tc>
          <w:tcPr>
            <w:tcW w:w="3260" w:type="dxa"/>
          </w:tcPr>
          <w:p w14:paraId="6692D0BD"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Density of Crude in the ground </w:t>
            </w:r>
          </w:p>
        </w:tc>
        <w:tc>
          <w:tcPr>
            <w:tcW w:w="2268" w:type="dxa"/>
          </w:tcPr>
          <w:p w14:paraId="295ED587"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0.835 g/cc</w:t>
            </w:r>
          </w:p>
        </w:tc>
      </w:tr>
      <w:tr w:rsidR="00362133" w:rsidRPr="00362133" w14:paraId="7A5CB070" w14:textId="77777777" w:rsidTr="00F32A31">
        <w:trPr>
          <w:trHeight w:val="253"/>
          <w:jc w:val="center"/>
        </w:trPr>
        <w:tc>
          <w:tcPr>
            <w:tcW w:w="3260" w:type="dxa"/>
          </w:tcPr>
          <w:p w14:paraId="45BF34DB" w14:textId="1C164821"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Original Oil saturation</w:t>
            </w:r>
            <w:r w:rsidR="005C2045">
              <w:rPr>
                <w:rFonts w:ascii="Times New Roman" w:hAnsi="Times New Roman" w:cs="Times New Roman"/>
                <w:sz w:val="20"/>
                <w:szCs w:val="20"/>
              </w:rPr>
              <w:t>,</w:t>
            </w:r>
            <w:r w:rsidRPr="00362133">
              <w:rPr>
                <w:rFonts w:ascii="Times New Roman" w:hAnsi="Times New Roman" w:cs="Times New Roman"/>
                <w:sz w:val="20"/>
                <w:szCs w:val="20"/>
              </w:rPr>
              <w:t xml:space="preserve"> S</w:t>
            </w:r>
            <w:r w:rsidRPr="00362133">
              <w:rPr>
                <w:rFonts w:ascii="Times New Roman" w:hAnsi="Times New Roman" w:cs="Times New Roman"/>
                <w:sz w:val="20"/>
                <w:szCs w:val="20"/>
                <w:vertAlign w:val="subscript"/>
              </w:rPr>
              <w:t>oi</w:t>
            </w:r>
          </w:p>
        </w:tc>
        <w:tc>
          <w:tcPr>
            <w:tcW w:w="2268" w:type="dxa"/>
          </w:tcPr>
          <w:p w14:paraId="535B8DD3"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50%</w:t>
            </w:r>
          </w:p>
        </w:tc>
      </w:tr>
      <w:tr w:rsidR="00362133" w:rsidRPr="00362133" w14:paraId="2954C039" w14:textId="77777777" w:rsidTr="00F32A31">
        <w:trPr>
          <w:trHeight w:val="253"/>
          <w:jc w:val="center"/>
        </w:trPr>
        <w:tc>
          <w:tcPr>
            <w:tcW w:w="3260" w:type="dxa"/>
          </w:tcPr>
          <w:p w14:paraId="50E9C241"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Porosity </w:t>
            </w:r>
          </w:p>
        </w:tc>
        <w:tc>
          <w:tcPr>
            <w:tcW w:w="2268" w:type="dxa"/>
          </w:tcPr>
          <w:p w14:paraId="32CE2456"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13-18%</w:t>
            </w:r>
          </w:p>
        </w:tc>
      </w:tr>
      <w:tr w:rsidR="00362133" w:rsidRPr="00362133" w14:paraId="526A3B63" w14:textId="77777777" w:rsidTr="00F32A31">
        <w:trPr>
          <w:trHeight w:val="253"/>
          <w:jc w:val="center"/>
        </w:trPr>
        <w:tc>
          <w:tcPr>
            <w:tcW w:w="3260" w:type="dxa"/>
          </w:tcPr>
          <w:p w14:paraId="335F2166"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Permeability </w:t>
            </w:r>
          </w:p>
        </w:tc>
        <w:tc>
          <w:tcPr>
            <w:tcW w:w="2268" w:type="dxa"/>
          </w:tcPr>
          <w:p w14:paraId="639125F6"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4-32 </w:t>
            </w:r>
            <w:proofErr w:type="spellStart"/>
            <w:r w:rsidRPr="00362133">
              <w:rPr>
                <w:rFonts w:ascii="Times New Roman" w:hAnsi="Times New Roman" w:cs="Times New Roman"/>
                <w:sz w:val="20"/>
                <w:szCs w:val="20"/>
              </w:rPr>
              <w:t>mD</w:t>
            </w:r>
            <w:proofErr w:type="spellEnd"/>
          </w:p>
        </w:tc>
      </w:tr>
    </w:tbl>
    <w:p w14:paraId="507529D1" w14:textId="77777777" w:rsidR="00362133" w:rsidRPr="00362133" w:rsidRDefault="00362133" w:rsidP="00F32A31">
      <w:pPr>
        <w:spacing w:before="240" w:line="240" w:lineRule="auto"/>
        <w:jc w:val="both"/>
        <w:rPr>
          <w:rFonts w:ascii="Times New Roman" w:hAnsi="Times New Roman" w:cs="Times New Roman"/>
          <w:kern w:val="2"/>
          <w:sz w:val="20"/>
          <w:szCs w:val="20"/>
          <w14:ligatures w14:val="standardContextual"/>
        </w:rPr>
      </w:pPr>
      <w:r w:rsidRPr="00362133">
        <w:rPr>
          <w:rFonts w:ascii="Times New Roman" w:hAnsi="Times New Roman" w:cs="Times New Roman"/>
          <w:kern w:val="2"/>
          <w:sz w:val="20"/>
          <w:szCs w:val="20"/>
          <w14:ligatures w14:val="standardContextual"/>
        </w:rPr>
        <w:t xml:space="preserve">After injecting and reviewing the core samples the mineral and solubility trapping capacities are determined by the empirical calculations provided in </w:t>
      </w:r>
      <w:proofErr w:type="spellStart"/>
      <w:r w:rsidRPr="00362133">
        <w:rPr>
          <w:rFonts w:ascii="Times New Roman" w:hAnsi="Times New Roman" w:cs="Times New Roman"/>
          <w:kern w:val="2"/>
          <w:sz w:val="20"/>
          <w:szCs w:val="20"/>
          <w14:ligatures w14:val="standardContextual"/>
        </w:rPr>
        <w:t>Shuaiwei</w:t>
      </w:r>
      <w:proofErr w:type="spellEnd"/>
      <w:r w:rsidRPr="00362133">
        <w:rPr>
          <w:rFonts w:ascii="Times New Roman" w:hAnsi="Times New Roman" w:cs="Times New Roman"/>
          <w:kern w:val="2"/>
          <w:sz w:val="20"/>
          <w:szCs w:val="20"/>
          <w14:ligatures w14:val="standardContextual"/>
        </w:rPr>
        <w:t xml:space="preserve"> Ding, 2018. CO</w:t>
      </w:r>
      <w:r w:rsidRPr="00362133">
        <w:rPr>
          <w:rFonts w:ascii="Times New Roman" w:hAnsi="Times New Roman" w:cs="Times New Roman"/>
          <w:kern w:val="2"/>
          <w:sz w:val="20"/>
          <w:szCs w:val="20"/>
          <w:vertAlign w:val="subscript"/>
          <w14:ligatures w14:val="standardContextual"/>
        </w:rPr>
        <w:t xml:space="preserve">2 </w:t>
      </w:r>
      <w:r w:rsidRPr="00362133">
        <w:rPr>
          <w:rFonts w:ascii="Times New Roman" w:hAnsi="Times New Roman" w:cs="Times New Roman"/>
          <w:kern w:val="2"/>
          <w:sz w:val="20"/>
          <w:szCs w:val="20"/>
          <w14:ligatures w14:val="standardContextual"/>
        </w:rPr>
        <w:t>storage capacity estimation in oil reservoirs by solubility and mineral trapping. Table 2 shows the trapping capacities of the reservoir rock:</w:t>
      </w:r>
    </w:p>
    <w:p w14:paraId="39D2237F" w14:textId="6566A76B" w:rsidR="00362133" w:rsidRPr="00362133" w:rsidRDefault="00362133" w:rsidP="00F32A31">
      <w:pPr>
        <w:spacing w:line="240" w:lineRule="auto"/>
        <w:ind w:firstLine="720"/>
        <w:jc w:val="both"/>
        <w:rPr>
          <w:rFonts w:ascii="Times New Roman" w:hAnsi="Times New Roman" w:cs="Times New Roman"/>
          <w:kern w:val="2"/>
          <w:sz w:val="20"/>
          <w:szCs w:val="20"/>
          <w14:ligatures w14:val="standardContextual"/>
        </w:rPr>
      </w:pPr>
      <w:r w:rsidRPr="00F32A31">
        <w:rPr>
          <w:rFonts w:ascii="Times New Roman" w:hAnsi="Times New Roman" w:cs="Times New Roman"/>
          <w:b/>
          <w:bCs/>
          <w:kern w:val="2"/>
          <w:sz w:val="20"/>
          <w:szCs w:val="20"/>
          <w14:ligatures w14:val="standardContextual"/>
        </w:rPr>
        <w:t>Table 2</w:t>
      </w:r>
      <w:r w:rsidR="00F32A31">
        <w:rPr>
          <w:rFonts w:ascii="Times New Roman" w:hAnsi="Times New Roman" w:cs="Times New Roman"/>
          <w:kern w:val="2"/>
          <w:sz w:val="20"/>
          <w:szCs w:val="20"/>
          <w14:ligatures w14:val="standardContextual"/>
        </w:rPr>
        <w:t>: Estimated CO</w:t>
      </w:r>
      <w:r w:rsidR="00F32A31" w:rsidRPr="00F32A31">
        <w:rPr>
          <w:rFonts w:ascii="Times New Roman" w:hAnsi="Times New Roman" w:cs="Times New Roman"/>
          <w:kern w:val="2"/>
          <w:sz w:val="20"/>
          <w:szCs w:val="20"/>
          <w:vertAlign w:val="subscript"/>
          <w14:ligatures w14:val="standardContextual"/>
        </w:rPr>
        <w:t>2</w:t>
      </w:r>
      <w:r w:rsidR="00F32A31">
        <w:rPr>
          <w:rFonts w:ascii="Times New Roman" w:hAnsi="Times New Roman" w:cs="Times New Roman"/>
          <w:kern w:val="2"/>
          <w:sz w:val="20"/>
          <w:szCs w:val="20"/>
          <w14:ligatures w14:val="standardContextual"/>
        </w:rPr>
        <w:t xml:space="preserve"> trapping potential of reservoir rock of Assam oilfield</w:t>
      </w:r>
    </w:p>
    <w:tbl>
      <w:tblPr>
        <w:tblStyle w:val="TableGrid"/>
        <w:tblW w:w="0" w:type="auto"/>
        <w:jc w:val="center"/>
        <w:tblLook w:val="04A0" w:firstRow="1" w:lastRow="0" w:firstColumn="1" w:lastColumn="0" w:noHBand="0" w:noVBand="1"/>
      </w:tblPr>
      <w:tblGrid>
        <w:gridCol w:w="2549"/>
        <w:gridCol w:w="2549"/>
        <w:gridCol w:w="2548"/>
      </w:tblGrid>
      <w:tr w:rsidR="00362133" w:rsidRPr="00362133" w14:paraId="063AC112" w14:textId="77777777" w:rsidTr="00F32A31">
        <w:trPr>
          <w:trHeight w:val="337"/>
          <w:jc w:val="center"/>
        </w:trPr>
        <w:tc>
          <w:tcPr>
            <w:tcW w:w="2549" w:type="dxa"/>
            <w:vMerge w:val="restart"/>
          </w:tcPr>
          <w:p w14:paraId="4DA8A08B" w14:textId="77777777" w:rsidR="00362133" w:rsidRPr="00362133" w:rsidRDefault="00362133" w:rsidP="00362133">
            <w:pPr>
              <w:jc w:val="both"/>
              <w:rPr>
                <w:rFonts w:ascii="Times New Roman" w:hAnsi="Times New Roman" w:cs="Times New Roman"/>
                <w:sz w:val="20"/>
                <w:szCs w:val="20"/>
              </w:rPr>
            </w:pPr>
          </w:p>
          <w:p w14:paraId="5923D36E" w14:textId="77777777" w:rsidR="00362133" w:rsidRPr="00F32A31" w:rsidRDefault="00362133" w:rsidP="00362133">
            <w:pPr>
              <w:jc w:val="both"/>
              <w:rPr>
                <w:rFonts w:ascii="Times New Roman" w:hAnsi="Times New Roman" w:cs="Times New Roman"/>
                <w:b/>
                <w:bCs/>
                <w:sz w:val="20"/>
                <w:szCs w:val="20"/>
              </w:rPr>
            </w:pPr>
            <w:r w:rsidRPr="00F32A31">
              <w:rPr>
                <w:rFonts w:ascii="Times New Roman" w:hAnsi="Times New Roman" w:cs="Times New Roman"/>
                <w:b/>
                <w:bCs/>
                <w:sz w:val="20"/>
                <w:szCs w:val="20"/>
              </w:rPr>
              <w:t>CO</w:t>
            </w:r>
            <w:r w:rsidRPr="00F32A31">
              <w:rPr>
                <w:rFonts w:ascii="Times New Roman" w:hAnsi="Times New Roman" w:cs="Times New Roman"/>
                <w:b/>
                <w:bCs/>
                <w:sz w:val="20"/>
                <w:szCs w:val="20"/>
                <w:vertAlign w:val="subscript"/>
              </w:rPr>
              <w:t>2</w:t>
            </w:r>
            <w:r w:rsidRPr="00F32A31">
              <w:rPr>
                <w:rFonts w:ascii="Times New Roman" w:hAnsi="Times New Roman" w:cs="Times New Roman"/>
                <w:b/>
                <w:bCs/>
                <w:sz w:val="20"/>
                <w:szCs w:val="20"/>
              </w:rPr>
              <w:t xml:space="preserve"> storage capacity (Mt)</w:t>
            </w:r>
          </w:p>
        </w:tc>
        <w:tc>
          <w:tcPr>
            <w:tcW w:w="2549" w:type="dxa"/>
          </w:tcPr>
          <w:p w14:paraId="4E73021F" w14:textId="77777777" w:rsidR="00362133" w:rsidRPr="00F32A31" w:rsidRDefault="00362133" w:rsidP="00362133">
            <w:pPr>
              <w:jc w:val="both"/>
              <w:rPr>
                <w:rFonts w:ascii="Times New Roman" w:hAnsi="Times New Roman" w:cs="Times New Roman"/>
                <w:b/>
                <w:bCs/>
                <w:sz w:val="20"/>
                <w:szCs w:val="20"/>
              </w:rPr>
            </w:pPr>
            <w:r w:rsidRPr="00F32A31">
              <w:rPr>
                <w:rFonts w:ascii="Times New Roman" w:hAnsi="Times New Roman" w:cs="Times New Roman"/>
                <w:b/>
                <w:bCs/>
                <w:sz w:val="20"/>
                <w:szCs w:val="20"/>
              </w:rPr>
              <w:t xml:space="preserve">Trapping Mechanism </w:t>
            </w:r>
          </w:p>
        </w:tc>
        <w:tc>
          <w:tcPr>
            <w:tcW w:w="2548" w:type="dxa"/>
          </w:tcPr>
          <w:p w14:paraId="2D252CF7" w14:textId="77777777" w:rsidR="00362133" w:rsidRPr="00F32A31" w:rsidRDefault="00362133" w:rsidP="00362133">
            <w:pPr>
              <w:jc w:val="both"/>
              <w:rPr>
                <w:rFonts w:ascii="Times New Roman" w:hAnsi="Times New Roman" w:cs="Times New Roman"/>
                <w:b/>
                <w:bCs/>
                <w:sz w:val="20"/>
                <w:szCs w:val="20"/>
              </w:rPr>
            </w:pPr>
            <w:r w:rsidRPr="00F32A31">
              <w:rPr>
                <w:rFonts w:ascii="Times New Roman" w:hAnsi="Times New Roman" w:cs="Times New Roman"/>
                <w:b/>
                <w:bCs/>
                <w:sz w:val="20"/>
                <w:szCs w:val="20"/>
              </w:rPr>
              <w:t xml:space="preserve">Average Value </w:t>
            </w:r>
          </w:p>
        </w:tc>
      </w:tr>
      <w:tr w:rsidR="00362133" w:rsidRPr="00362133" w14:paraId="17B6934F" w14:textId="77777777" w:rsidTr="00F32A31">
        <w:trPr>
          <w:jc w:val="center"/>
        </w:trPr>
        <w:tc>
          <w:tcPr>
            <w:tcW w:w="2549" w:type="dxa"/>
            <w:vMerge/>
          </w:tcPr>
          <w:p w14:paraId="170D9201" w14:textId="77777777" w:rsidR="00362133" w:rsidRPr="00362133" w:rsidRDefault="00362133" w:rsidP="00362133">
            <w:pPr>
              <w:jc w:val="both"/>
              <w:rPr>
                <w:rFonts w:ascii="Times New Roman" w:hAnsi="Times New Roman" w:cs="Times New Roman"/>
                <w:sz w:val="20"/>
                <w:szCs w:val="20"/>
              </w:rPr>
            </w:pPr>
          </w:p>
        </w:tc>
        <w:tc>
          <w:tcPr>
            <w:tcW w:w="2549" w:type="dxa"/>
          </w:tcPr>
          <w:p w14:paraId="7EA6E842"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Solubility in remaining oil</w:t>
            </w:r>
          </w:p>
        </w:tc>
        <w:tc>
          <w:tcPr>
            <w:tcW w:w="2548" w:type="dxa"/>
          </w:tcPr>
          <w:p w14:paraId="64291925"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2.587</w:t>
            </w:r>
          </w:p>
        </w:tc>
      </w:tr>
      <w:tr w:rsidR="00362133" w:rsidRPr="00362133" w14:paraId="3A5A18B9" w14:textId="77777777" w:rsidTr="00F32A31">
        <w:trPr>
          <w:jc w:val="center"/>
        </w:trPr>
        <w:tc>
          <w:tcPr>
            <w:tcW w:w="2549" w:type="dxa"/>
            <w:vMerge/>
          </w:tcPr>
          <w:p w14:paraId="523E02A2" w14:textId="77777777" w:rsidR="00362133" w:rsidRPr="00362133" w:rsidRDefault="00362133" w:rsidP="00362133">
            <w:pPr>
              <w:jc w:val="both"/>
              <w:rPr>
                <w:rFonts w:ascii="Times New Roman" w:hAnsi="Times New Roman" w:cs="Times New Roman"/>
                <w:sz w:val="20"/>
                <w:szCs w:val="20"/>
              </w:rPr>
            </w:pPr>
          </w:p>
        </w:tc>
        <w:tc>
          <w:tcPr>
            <w:tcW w:w="2549" w:type="dxa"/>
          </w:tcPr>
          <w:p w14:paraId="2FF7DEE3"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Solubility in formation water </w:t>
            </w:r>
          </w:p>
        </w:tc>
        <w:tc>
          <w:tcPr>
            <w:tcW w:w="2548" w:type="dxa"/>
          </w:tcPr>
          <w:p w14:paraId="532E82BB"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0.5575</w:t>
            </w:r>
          </w:p>
        </w:tc>
      </w:tr>
      <w:tr w:rsidR="00362133" w:rsidRPr="00362133" w14:paraId="53363C2E" w14:textId="77777777" w:rsidTr="00F32A31">
        <w:trPr>
          <w:jc w:val="center"/>
        </w:trPr>
        <w:tc>
          <w:tcPr>
            <w:tcW w:w="2549" w:type="dxa"/>
            <w:vMerge/>
          </w:tcPr>
          <w:p w14:paraId="2D73546A" w14:textId="77777777" w:rsidR="00362133" w:rsidRPr="00362133" w:rsidRDefault="00362133" w:rsidP="00362133">
            <w:pPr>
              <w:jc w:val="both"/>
              <w:rPr>
                <w:rFonts w:ascii="Times New Roman" w:hAnsi="Times New Roman" w:cs="Times New Roman"/>
                <w:sz w:val="20"/>
                <w:szCs w:val="20"/>
              </w:rPr>
            </w:pPr>
          </w:p>
        </w:tc>
        <w:tc>
          <w:tcPr>
            <w:tcW w:w="2549" w:type="dxa"/>
          </w:tcPr>
          <w:p w14:paraId="3C7A2CDE"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 xml:space="preserve">Mineral trapping </w:t>
            </w:r>
          </w:p>
        </w:tc>
        <w:tc>
          <w:tcPr>
            <w:tcW w:w="2548" w:type="dxa"/>
          </w:tcPr>
          <w:p w14:paraId="361809A1" w14:textId="77777777" w:rsidR="00362133" w:rsidRPr="00362133" w:rsidRDefault="00362133" w:rsidP="00362133">
            <w:pPr>
              <w:jc w:val="both"/>
              <w:rPr>
                <w:rFonts w:ascii="Times New Roman" w:hAnsi="Times New Roman" w:cs="Times New Roman"/>
                <w:sz w:val="20"/>
                <w:szCs w:val="20"/>
              </w:rPr>
            </w:pPr>
            <w:r w:rsidRPr="00362133">
              <w:rPr>
                <w:rFonts w:ascii="Times New Roman" w:hAnsi="Times New Roman" w:cs="Times New Roman"/>
                <w:sz w:val="20"/>
                <w:szCs w:val="20"/>
              </w:rPr>
              <w:t>17.1652</w:t>
            </w:r>
          </w:p>
        </w:tc>
      </w:tr>
    </w:tbl>
    <w:p w14:paraId="4D1D91EE" w14:textId="088A4E4D" w:rsidR="00511B41" w:rsidRPr="0051678B" w:rsidRDefault="00362133" w:rsidP="00362133">
      <w:pPr>
        <w:spacing w:line="240" w:lineRule="auto"/>
        <w:jc w:val="both"/>
        <w:rPr>
          <w:rFonts w:ascii="Times New Roman" w:hAnsi="Times New Roman" w:cs="Times New Roman"/>
          <w:b/>
          <w:sz w:val="20"/>
          <w:szCs w:val="24"/>
        </w:rPr>
      </w:pPr>
      <w:r w:rsidRPr="00362133">
        <w:rPr>
          <w:rFonts w:ascii="Times New Roman" w:hAnsi="Times New Roman" w:cs="Times New Roman"/>
          <w:kern w:val="2"/>
          <w:sz w:val="20"/>
          <w:szCs w:val="20"/>
          <w14:ligatures w14:val="standardContextual"/>
        </w:rPr>
        <w:t xml:space="preserve">Keywords: </w:t>
      </w:r>
      <w:r w:rsidR="00517E70">
        <w:rPr>
          <w:rFonts w:ascii="Times New Roman" w:hAnsi="Times New Roman" w:cs="Times New Roman"/>
          <w:kern w:val="2"/>
          <w:sz w:val="20"/>
          <w:szCs w:val="20"/>
          <w14:ligatures w14:val="standardContextual"/>
        </w:rPr>
        <w:tab/>
      </w:r>
      <w:r w:rsidRPr="00362133">
        <w:rPr>
          <w:rFonts w:ascii="Times New Roman" w:hAnsi="Times New Roman" w:cs="Times New Roman"/>
          <w:kern w:val="2"/>
          <w:sz w:val="20"/>
          <w:szCs w:val="20"/>
          <w14:ligatures w14:val="standardContextual"/>
        </w:rPr>
        <w:t>CO</w:t>
      </w:r>
      <w:r w:rsidRPr="00362133">
        <w:rPr>
          <w:rFonts w:ascii="Times New Roman" w:hAnsi="Times New Roman" w:cs="Times New Roman"/>
          <w:kern w:val="2"/>
          <w:sz w:val="20"/>
          <w:szCs w:val="20"/>
          <w:vertAlign w:val="subscript"/>
          <w14:ligatures w14:val="standardContextual"/>
        </w:rPr>
        <w:t xml:space="preserve">2 </w:t>
      </w:r>
      <w:r w:rsidRPr="00362133">
        <w:rPr>
          <w:rFonts w:ascii="Times New Roman" w:hAnsi="Times New Roman" w:cs="Times New Roman"/>
          <w:kern w:val="2"/>
          <w:sz w:val="20"/>
          <w:szCs w:val="20"/>
          <w14:ligatures w14:val="standardContextual"/>
        </w:rPr>
        <w:t>storage, Carbon dioxide injection, solubility-mineral trapping</w:t>
      </w:r>
    </w:p>
    <w:sectPr w:rsidR="00511B41" w:rsidRPr="0051678B" w:rsidSect="00CE43EF">
      <w:headerReference w:type="default" r:id="rId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D35F0" w14:textId="77777777" w:rsidR="007051E8" w:rsidRDefault="007051E8" w:rsidP="00CE43EF">
      <w:pPr>
        <w:spacing w:after="0" w:line="240" w:lineRule="auto"/>
      </w:pPr>
      <w:r>
        <w:separator/>
      </w:r>
    </w:p>
  </w:endnote>
  <w:endnote w:type="continuationSeparator" w:id="0">
    <w:p w14:paraId="1F331556" w14:textId="77777777" w:rsidR="007051E8" w:rsidRDefault="007051E8" w:rsidP="00CE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B644" w14:textId="77777777" w:rsidR="007051E8" w:rsidRDefault="007051E8" w:rsidP="00CE43EF">
      <w:pPr>
        <w:spacing w:after="0" w:line="240" w:lineRule="auto"/>
      </w:pPr>
      <w:r>
        <w:separator/>
      </w:r>
    </w:p>
  </w:footnote>
  <w:footnote w:type="continuationSeparator" w:id="0">
    <w:p w14:paraId="428FFC95" w14:textId="77777777" w:rsidR="007051E8" w:rsidRDefault="007051E8" w:rsidP="00CE4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C79C" w14:textId="3A0BCA2B" w:rsidR="00CE43EF" w:rsidRDefault="00CE43EF">
    <w:pPr>
      <w:pStyle w:val="Header"/>
    </w:pPr>
    <w:r>
      <w:rPr>
        <w:noProof/>
      </w:rPr>
      <w:drawing>
        <wp:anchor distT="0" distB="0" distL="114300" distR="114300" simplePos="0" relativeHeight="251658240" behindDoc="0" locked="0" layoutInCell="1" allowOverlap="1" wp14:anchorId="47F6445D" wp14:editId="5D348693">
          <wp:simplePos x="0" y="0"/>
          <wp:positionH relativeFrom="margin">
            <wp:align>center</wp:align>
          </wp:positionH>
          <wp:positionV relativeFrom="paragraph">
            <wp:posOffset>-8255</wp:posOffset>
          </wp:positionV>
          <wp:extent cx="1819275" cy="600075"/>
          <wp:effectExtent l="0" t="0" r="0" b="0"/>
          <wp:wrapTopAndBottom/>
          <wp:docPr id="812819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0075"/>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MwNzeyMDUzNTAxMTBX0lEKTi0uzszPAykwrAUA2+siJiwAAAA="/>
  </w:docVars>
  <w:rsids>
    <w:rsidRoot w:val="00CC7240"/>
    <w:rsid w:val="00075DBA"/>
    <w:rsid w:val="00080535"/>
    <w:rsid w:val="000E50AD"/>
    <w:rsid w:val="00151D56"/>
    <w:rsid w:val="001F36CD"/>
    <w:rsid w:val="002830A6"/>
    <w:rsid w:val="00297361"/>
    <w:rsid w:val="002B14A6"/>
    <w:rsid w:val="002D3D25"/>
    <w:rsid w:val="002F1146"/>
    <w:rsid w:val="00362133"/>
    <w:rsid w:val="00390B62"/>
    <w:rsid w:val="00415F84"/>
    <w:rsid w:val="00465F63"/>
    <w:rsid w:val="00511B41"/>
    <w:rsid w:val="0051678B"/>
    <w:rsid w:val="00517E70"/>
    <w:rsid w:val="00552A5E"/>
    <w:rsid w:val="005C2045"/>
    <w:rsid w:val="006F0FDD"/>
    <w:rsid w:val="007051E8"/>
    <w:rsid w:val="0076013F"/>
    <w:rsid w:val="00790E31"/>
    <w:rsid w:val="00792099"/>
    <w:rsid w:val="00861D18"/>
    <w:rsid w:val="008B6E1C"/>
    <w:rsid w:val="008C1049"/>
    <w:rsid w:val="00907872"/>
    <w:rsid w:val="00907D02"/>
    <w:rsid w:val="009D495F"/>
    <w:rsid w:val="00A55E39"/>
    <w:rsid w:val="00AC2A4A"/>
    <w:rsid w:val="00AF5F62"/>
    <w:rsid w:val="00B171E6"/>
    <w:rsid w:val="00B403C6"/>
    <w:rsid w:val="00B477DB"/>
    <w:rsid w:val="00B50C9A"/>
    <w:rsid w:val="00B7395F"/>
    <w:rsid w:val="00BC76EE"/>
    <w:rsid w:val="00BD25D1"/>
    <w:rsid w:val="00BF4AEF"/>
    <w:rsid w:val="00BF67F7"/>
    <w:rsid w:val="00C24034"/>
    <w:rsid w:val="00C5650C"/>
    <w:rsid w:val="00CC7240"/>
    <w:rsid w:val="00CE2166"/>
    <w:rsid w:val="00CE43EF"/>
    <w:rsid w:val="00D33193"/>
    <w:rsid w:val="00D74B24"/>
    <w:rsid w:val="00DA5ACE"/>
    <w:rsid w:val="00E05C0B"/>
    <w:rsid w:val="00E53BEF"/>
    <w:rsid w:val="00E95D04"/>
    <w:rsid w:val="00EB3F68"/>
    <w:rsid w:val="00EC726D"/>
    <w:rsid w:val="00EF73F6"/>
    <w:rsid w:val="00F077D3"/>
    <w:rsid w:val="00F32A31"/>
    <w:rsid w:val="00FD50B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58FC"/>
  <w15:chartTrackingRefBased/>
  <w15:docId w15:val="{E2CA7EAA-3683-4AF1-A6DA-7009512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E31"/>
    <w:rPr>
      <w:color w:val="0563C1" w:themeColor="hyperlink"/>
      <w:u w:val="single"/>
    </w:rPr>
  </w:style>
  <w:style w:type="paragraph" w:styleId="Header">
    <w:name w:val="header"/>
    <w:basedOn w:val="Normal"/>
    <w:link w:val="HeaderChar"/>
    <w:uiPriority w:val="99"/>
    <w:unhideWhenUsed/>
    <w:rsid w:val="00CE4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3EF"/>
  </w:style>
  <w:style w:type="paragraph" w:styleId="Footer">
    <w:name w:val="footer"/>
    <w:basedOn w:val="Normal"/>
    <w:link w:val="FooterChar"/>
    <w:uiPriority w:val="99"/>
    <w:unhideWhenUsed/>
    <w:rsid w:val="00CE4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3EF"/>
  </w:style>
  <w:style w:type="table" w:styleId="TableGrid">
    <w:name w:val="Table Grid"/>
    <w:basedOn w:val="TableNormal"/>
    <w:uiPriority w:val="39"/>
    <w:rsid w:val="0036213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2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2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phukan@dibru.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eptangshu333@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Phukan</dc:creator>
  <cp:keywords/>
  <dc:description/>
  <cp:lastModifiedBy>Deeptangshu Chetia Phukan</cp:lastModifiedBy>
  <cp:revision>2</cp:revision>
  <dcterms:created xsi:type="dcterms:W3CDTF">2023-04-25T07:03:00Z</dcterms:created>
  <dcterms:modified xsi:type="dcterms:W3CDTF">2023-04-25T07:03:00Z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4c2c62399747db137eef0be6ca33fbd45179f30658f9b4c50bdbbb5be5871a2e</vt:lpwstr>
  </property>
</Properties>
</file>