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592B4" w14:textId="77777777" w:rsidR="009F2063" w:rsidRPr="009F2063" w:rsidRDefault="009F2063" w:rsidP="00B641ED">
      <w:pPr>
        <w:jc w:val="center"/>
        <w:rPr>
          <w:b/>
          <w:bCs/>
          <w:sz w:val="28"/>
          <w:szCs w:val="28"/>
        </w:rPr>
      </w:pPr>
      <w:r w:rsidRPr="009F2063">
        <w:rPr>
          <w:b/>
          <w:bCs/>
          <w:sz w:val="28"/>
          <w:szCs w:val="28"/>
        </w:rPr>
        <w:t>Enhancing Barrier Performance of PLA-Based Blends: Insights from Molecular Dynamics Simulations</w:t>
      </w:r>
    </w:p>
    <w:p w14:paraId="5C129CCD" w14:textId="56383C7E" w:rsidR="00B641ED" w:rsidRPr="007E3F5C" w:rsidRDefault="00B641ED" w:rsidP="00B641ED">
      <w:pPr>
        <w:jc w:val="center"/>
        <w:rPr>
          <w:vertAlign w:val="superscript"/>
        </w:rPr>
      </w:pPr>
      <w:r w:rsidRPr="009F2063">
        <w:t>Kumar</w:t>
      </w:r>
      <w:r w:rsidRPr="006600F5">
        <w:rPr>
          <w:u w:val="single"/>
        </w:rPr>
        <w:t xml:space="preserve"> </w:t>
      </w:r>
      <w:r w:rsidRPr="009F2063">
        <w:t>Shanu</w:t>
      </w:r>
      <w:r w:rsidR="00146ED0" w:rsidRPr="009F2063">
        <w:rPr>
          <w:vertAlign w:val="superscript"/>
        </w:rPr>
        <w:t>1</w:t>
      </w:r>
      <w:r w:rsidRPr="00B641ED">
        <w:t xml:space="preserve"> and Amit Kumar</w:t>
      </w:r>
      <w:r w:rsidR="00146ED0">
        <w:rPr>
          <w:vertAlign w:val="superscript"/>
        </w:rPr>
        <w:t>1,2</w:t>
      </w:r>
      <w:bookmarkStart w:id="0" w:name="_GoBack"/>
      <w:bookmarkEnd w:id="0"/>
    </w:p>
    <w:p w14:paraId="0A78FFC6" w14:textId="035CDD40" w:rsidR="00B641ED" w:rsidRPr="005E4423" w:rsidRDefault="00146ED0" w:rsidP="00B641ED">
      <w:pPr>
        <w:jc w:val="center"/>
        <w:rPr>
          <w:sz w:val="22"/>
          <w:szCs w:val="22"/>
        </w:rPr>
      </w:pPr>
      <w:r w:rsidRPr="005E4423">
        <w:rPr>
          <w:sz w:val="22"/>
          <w:szCs w:val="22"/>
          <w:vertAlign w:val="superscript"/>
        </w:rPr>
        <w:t>1</w:t>
      </w:r>
      <w:r w:rsidR="00B641ED" w:rsidRPr="005E4423">
        <w:rPr>
          <w:sz w:val="22"/>
          <w:szCs w:val="22"/>
        </w:rPr>
        <w:t>Department of Chemical Engineering, Indian Institute of Technology Guwahati</w:t>
      </w:r>
    </w:p>
    <w:p w14:paraId="188AE981" w14:textId="552C24D0" w:rsidR="00B641ED" w:rsidRPr="005E4423" w:rsidRDefault="00B641ED" w:rsidP="00B641ED">
      <w:pPr>
        <w:jc w:val="center"/>
        <w:rPr>
          <w:sz w:val="22"/>
          <w:szCs w:val="22"/>
        </w:rPr>
      </w:pPr>
      <w:r w:rsidRPr="005E4423">
        <w:rPr>
          <w:sz w:val="22"/>
          <w:szCs w:val="22"/>
        </w:rPr>
        <w:t>Assam - 781039, India</w:t>
      </w:r>
    </w:p>
    <w:p w14:paraId="1F67D5C9" w14:textId="2977B6C9" w:rsidR="00146ED0" w:rsidRPr="005E4423" w:rsidRDefault="00146ED0" w:rsidP="00146ED0">
      <w:pPr>
        <w:jc w:val="center"/>
        <w:rPr>
          <w:sz w:val="22"/>
          <w:szCs w:val="22"/>
        </w:rPr>
      </w:pPr>
      <w:r w:rsidRPr="005E4423">
        <w:rPr>
          <w:sz w:val="22"/>
          <w:szCs w:val="22"/>
          <w:vertAlign w:val="superscript"/>
        </w:rPr>
        <w:t>2</w:t>
      </w:r>
      <w:r w:rsidRPr="005E4423">
        <w:rPr>
          <w:sz w:val="22"/>
          <w:szCs w:val="22"/>
        </w:rPr>
        <w:t>Centre for Sustainable Polymers, Indian Institute of Technology Guwahati</w:t>
      </w:r>
    </w:p>
    <w:p w14:paraId="198D11B0" w14:textId="019E84CB" w:rsidR="00146ED0" w:rsidRPr="005E4423" w:rsidRDefault="00146ED0">
      <w:pPr>
        <w:jc w:val="center"/>
        <w:rPr>
          <w:sz w:val="22"/>
          <w:szCs w:val="22"/>
        </w:rPr>
      </w:pPr>
      <w:r w:rsidRPr="005E4423">
        <w:rPr>
          <w:sz w:val="22"/>
          <w:szCs w:val="22"/>
        </w:rPr>
        <w:t>Assam - 781039, India</w:t>
      </w:r>
    </w:p>
    <w:p w14:paraId="00175D8E" w14:textId="47FA6ADF" w:rsidR="00B641ED" w:rsidRPr="005E4423" w:rsidRDefault="00B641ED" w:rsidP="00F738E4">
      <w:pPr>
        <w:spacing w:line="480" w:lineRule="auto"/>
        <w:jc w:val="center"/>
        <w:rPr>
          <w:sz w:val="22"/>
          <w:szCs w:val="22"/>
        </w:rPr>
      </w:pPr>
      <w:r w:rsidRPr="005E4423">
        <w:rPr>
          <w:sz w:val="22"/>
          <w:szCs w:val="22"/>
        </w:rPr>
        <w:t xml:space="preserve">Email </w:t>
      </w:r>
      <w:r w:rsidR="00F738E4" w:rsidRPr="005E4423">
        <w:rPr>
          <w:sz w:val="22"/>
          <w:szCs w:val="22"/>
        </w:rPr>
        <w:t>–</w:t>
      </w:r>
      <w:r w:rsidRPr="005E4423">
        <w:rPr>
          <w:sz w:val="22"/>
          <w:szCs w:val="22"/>
        </w:rPr>
        <w:t xml:space="preserve"> </w:t>
      </w:r>
      <w:hyperlink r:id="rId6" w:history="1">
        <w:r w:rsidR="00F738E4" w:rsidRPr="005E4423">
          <w:rPr>
            <w:rStyle w:val="Hyperlink"/>
            <w:sz w:val="22"/>
            <w:szCs w:val="22"/>
          </w:rPr>
          <w:t>kshan</w:t>
        </w:r>
        <w:r w:rsidR="00E978CF" w:rsidRPr="005E4423">
          <w:rPr>
            <w:rStyle w:val="Hyperlink"/>
            <w:sz w:val="22"/>
            <w:szCs w:val="22"/>
          </w:rPr>
          <w:t>u</w:t>
        </w:r>
        <w:r w:rsidR="00F738E4" w:rsidRPr="005E4423">
          <w:rPr>
            <w:rStyle w:val="Hyperlink"/>
            <w:sz w:val="22"/>
            <w:szCs w:val="22"/>
          </w:rPr>
          <w:t>@iitg.ac.in</w:t>
        </w:r>
      </w:hyperlink>
      <w:r w:rsidR="00F738E4" w:rsidRPr="005E4423">
        <w:rPr>
          <w:sz w:val="22"/>
          <w:szCs w:val="22"/>
        </w:rPr>
        <w:t xml:space="preserve">, </w:t>
      </w:r>
      <w:hyperlink r:id="rId7" w:history="1">
        <w:r w:rsidR="002747CC" w:rsidRPr="005E4423">
          <w:rPr>
            <w:rStyle w:val="Hyperlink"/>
            <w:sz w:val="22"/>
            <w:szCs w:val="22"/>
          </w:rPr>
          <w:t>amitkumar@iitg.ac.in</w:t>
        </w:r>
      </w:hyperlink>
      <w:r w:rsidR="002747CC" w:rsidRPr="005E4423">
        <w:rPr>
          <w:sz w:val="22"/>
          <w:szCs w:val="22"/>
        </w:rPr>
        <w:t xml:space="preserve"> </w:t>
      </w:r>
    </w:p>
    <w:p w14:paraId="67820C60" w14:textId="752DD25D" w:rsidR="007C2712" w:rsidRPr="00AB28D3" w:rsidRDefault="00146ED0">
      <w:r>
        <w:t>Molecular simulations of polymeric materials (including blends and nanocomposites)</w:t>
      </w:r>
      <w:r w:rsidR="00DB3343">
        <w:t xml:space="preserve"> help in understanding the</w:t>
      </w:r>
      <w:r>
        <w:t>ir</w:t>
      </w:r>
      <w:r w:rsidR="00DB3343">
        <w:t xml:space="preserve"> macromolecular structure, thermodynamics, mechanical and barrier properties.</w:t>
      </w:r>
      <w:r w:rsidR="00427721">
        <w:t xml:space="preserve"> </w:t>
      </w:r>
      <w:r w:rsidR="006D26D3">
        <w:rPr>
          <w:color w:val="000000"/>
        </w:rPr>
        <w:t>Poly (lactic acid)</w:t>
      </w:r>
      <w:r w:rsidR="00427721">
        <w:rPr>
          <w:color w:val="000000"/>
        </w:rPr>
        <w:t xml:space="preserve"> (PLA)</w:t>
      </w:r>
      <w:r w:rsidR="006D26D3">
        <w:rPr>
          <w:color w:val="000000"/>
        </w:rPr>
        <w:t xml:space="preserve"> </w:t>
      </w:r>
      <w:r w:rsidR="00E60A0D">
        <w:rPr>
          <w:color w:val="000000"/>
        </w:rPr>
        <w:t>is</w:t>
      </w:r>
      <w:r w:rsidR="006D26D3">
        <w:rPr>
          <w:color w:val="000000"/>
        </w:rPr>
        <w:t xml:space="preserve"> </w:t>
      </w:r>
      <w:r>
        <w:rPr>
          <w:color w:val="000000"/>
        </w:rPr>
        <w:t>a</w:t>
      </w:r>
      <w:r w:rsidR="006D26D3">
        <w:rPr>
          <w:color w:val="000000"/>
        </w:rPr>
        <w:t xml:space="preserve"> promising biodegradable polymer</w:t>
      </w:r>
      <w:r>
        <w:rPr>
          <w:color w:val="000000"/>
        </w:rPr>
        <w:t>, that is widely being explored as a potential alternative to conventional polymers in various applications such as food packaging</w:t>
      </w:r>
      <w:r w:rsidR="00E60A0D">
        <w:rPr>
          <w:color w:val="000000"/>
        </w:rPr>
        <w:t xml:space="preserve">. </w:t>
      </w:r>
      <w:r w:rsidR="006D26D3">
        <w:rPr>
          <w:color w:val="000000"/>
        </w:rPr>
        <w:t>Despite the use of PLA in various applications, its</w:t>
      </w:r>
      <w:r w:rsidR="00AC11D7">
        <w:rPr>
          <w:color w:val="000000"/>
        </w:rPr>
        <w:t xml:space="preserve"> </w:t>
      </w:r>
      <w:r w:rsidR="00F75C1F">
        <w:rPr>
          <w:color w:val="000000"/>
        </w:rPr>
        <w:t>usage</w:t>
      </w:r>
      <w:r w:rsidR="006D26D3">
        <w:rPr>
          <w:color w:val="000000"/>
        </w:rPr>
        <w:t xml:space="preserve"> is restricted due to poor gas barrier properties, brittleness, low degradation rate, and high operational cost for industries</w:t>
      </w:r>
      <w:r w:rsidR="00427721">
        <w:rPr>
          <w:color w:val="000000"/>
        </w:rPr>
        <w:t xml:space="preserve">. </w:t>
      </w:r>
      <w:r w:rsidR="00427721">
        <w:rPr>
          <w:color w:val="000000"/>
          <w:shd w:val="clear" w:color="auto" w:fill="FFFFFF"/>
        </w:rPr>
        <w:t xml:space="preserve">Poly (butylene adipate-co-terephthalate) (PBAT), which has </w:t>
      </w:r>
      <w:r w:rsidR="00717536">
        <w:rPr>
          <w:color w:val="000000"/>
          <w:shd w:val="clear" w:color="auto" w:fill="FFFFFF"/>
        </w:rPr>
        <w:t xml:space="preserve">excellent </w:t>
      </w:r>
      <w:r w:rsidR="00427721">
        <w:rPr>
          <w:color w:val="000000"/>
          <w:shd w:val="clear" w:color="auto" w:fill="FFFFFF"/>
        </w:rPr>
        <w:t xml:space="preserve">flexibility and ductility, is </w:t>
      </w:r>
      <w:r w:rsidR="00C501F5">
        <w:rPr>
          <w:color w:val="000000"/>
          <w:shd w:val="clear" w:color="auto" w:fill="FFFFFF"/>
        </w:rPr>
        <w:t>a</w:t>
      </w:r>
      <w:r w:rsidR="00427721">
        <w:rPr>
          <w:color w:val="000000"/>
          <w:shd w:val="clear" w:color="auto" w:fill="FFFFFF"/>
        </w:rPr>
        <w:t xml:space="preserve"> promising </w:t>
      </w:r>
      <w:r w:rsidR="00C501F5">
        <w:rPr>
          <w:color w:val="000000"/>
          <w:shd w:val="clear" w:color="auto" w:fill="FFFFFF"/>
        </w:rPr>
        <w:t xml:space="preserve">candidate </w:t>
      </w:r>
      <w:r w:rsidR="00427721">
        <w:rPr>
          <w:color w:val="000000"/>
          <w:shd w:val="clear" w:color="auto" w:fill="FFFFFF"/>
        </w:rPr>
        <w:t xml:space="preserve">for blending with PLA </w:t>
      </w:r>
      <w:r w:rsidR="00E60A0D">
        <w:rPr>
          <w:color w:val="000000"/>
          <w:shd w:val="clear" w:color="auto" w:fill="FFFFFF"/>
        </w:rPr>
        <w:t>to enhance its properties</w:t>
      </w:r>
      <w:r w:rsidR="00002777">
        <w:rPr>
          <w:color w:val="000000"/>
          <w:shd w:val="clear" w:color="auto" w:fill="FFFFFF"/>
        </w:rPr>
        <w:t xml:space="preserve"> (1)</w:t>
      </w:r>
      <w:r w:rsidR="00E60A0D">
        <w:rPr>
          <w:color w:val="000000"/>
          <w:shd w:val="clear" w:color="auto" w:fill="FFFFFF"/>
        </w:rPr>
        <w:t xml:space="preserve">. </w:t>
      </w:r>
      <w:r w:rsidR="00F75C1F">
        <w:rPr>
          <w:color w:val="000000"/>
          <w:shd w:val="clear" w:color="auto" w:fill="FFFFFF"/>
        </w:rPr>
        <w:t xml:space="preserve">In </w:t>
      </w:r>
      <w:r w:rsidR="00621AB0">
        <w:rPr>
          <w:color w:val="000000"/>
          <w:shd w:val="clear" w:color="auto" w:fill="FFFFFF"/>
        </w:rPr>
        <w:t>th</w:t>
      </w:r>
      <w:r w:rsidR="00C501F5">
        <w:rPr>
          <w:color w:val="000000"/>
          <w:shd w:val="clear" w:color="auto" w:fill="FFFFFF"/>
        </w:rPr>
        <w:t>e present</w:t>
      </w:r>
      <w:r w:rsidR="00621AB0">
        <w:rPr>
          <w:color w:val="000000"/>
          <w:shd w:val="clear" w:color="auto" w:fill="FFFFFF"/>
        </w:rPr>
        <w:t xml:space="preserve"> study, we have </w:t>
      </w:r>
      <w:r w:rsidR="00C501F5">
        <w:rPr>
          <w:color w:val="000000"/>
          <w:shd w:val="clear" w:color="auto" w:fill="FFFFFF"/>
        </w:rPr>
        <w:t xml:space="preserve">generated realistic molecular models of pure PLA, pure PBAT and their blends </w:t>
      </w:r>
      <w:r w:rsidR="00D52725">
        <w:rPr>
          <w:color w:val="000000"/>
          <w:shd w:val="clear" w:color="auto" w:fill="FFFFFF"/>
        </w:rPr>
        <w:t xml:space="preserve">(see images below) </w:t>
      </w:r>
      <w:r w:rsidR="00C501F5">
        <w:rPr>
          <w:color w:val="000000"/>
          <w:shd w:val="clear" w:color="auto" w:fill="FFFFFF"/>
        </w:rPr>
        <w:t>whose densities compare well with the experimental densities reported in literature</w:t>
      </w:r>
      <w:r w:rsidR="00621AB0">
        <w:rPr>
          <w:color w:val="000000"/>
          <w:shd w:val="clear" w:color="auto" w:fill="FFFFFF"/>
        </w:rPr>
        <w:t>.</w:t>
      </w:r>
      <w:r w:rsidR="00F75C1F">
        <w:rPr>
          <w:color w:val="000000"/>
          <w:shd w:val="clear" w:color="auto" w:fill="FFFFFF"/>
        </w:rPr>
        <w:t xml:space="preserve"> </w:t>
      </w:r>
      <w:r w:rsidR="00717536">
        <w:t>Materials Studio 7.0</w:t>
      </w:r>
      <w:r w:rsidR="00002777">
        <w:t xml:space="preserve"> (2)</w:t>
      </w:r>
      <w:r w:rsidR="00717536">
        <w:t xml:space="preserve"> has been used for the preliminary modelling of the amorphous polymer structures and the LAMMPS software package, with the CVFF force field, has been used for detailed equilibration of the</w:t>
      </w:r>
      <w:r w:rsidR="00D57A5D">
        <w:t xml:space="preserve"> polymer matrix</w:t>
      </w:r>
      <w:r w:rsidR="00717536">
        <w:t xml:space="preserve">.  </w:t>
      </w:r>
      <w:r w:rsidR="00717536">
        <w:rPr>
          <w:color w:val="000000"/>
          <w:shd w:val="clear" w:color="auto" w:fill="FFFFFF"/>
        </w:rPr>
        <w:t>Molecular dynamics simulations of</w:t>
      </w:r>
      <w:r w:rsidR="008F2DAA" w:rsidRPr="008F2DAA">
        <w:rPr>
          <w:color w:val="000000"/>
          <w:shd w:val="clear" w:color="auto" w:fill="FFFFFF"/>
        </w:rPr>
        <w:t xml:space="preserve"> oxygen, water, and carbon dioxide </w:t>
      </w:r>
      <w:r w:rsidR="00717536">
        <w:rPr>
          <w:color w:val="000000"/>
          <w:shd w:val="clear" w:color="auto" w:fill="FFFFFF"/>
        </w:rPr>
        <w:t xml:space="preserve">transport in the modelled polymers and blends show a </w:t>
      </w:r>
      <w:r w:rsidR="008F2DAA" w:rsidRPr="008F2DAA">
        <w:rPr>
          <w:color w:val="000000"/>
          <w:shd w:val="clear" w:color="auto" w:fill="FFFFFF"/>
        </w:rPr>
        <w:t xml:space="preserve">decrease </w:t>
      </w:r>
      <w:r w:rsidR="00717536">
        <w:rPr>
          <w:color w:val="000000"/>
          <w:shd w:val="clear" w:color="auto" w:fill="FFFFFF"/>
        </w:rPr>
        <w:t xml:space="preserve">in the mean-square displacements and self-diffusion coefficients of the gases </w:t>
      </w:r>
      <w:r w:rsidR="008F2DAA" w:rsidRPr="008F2DAA">
        <w:rPr>
          <w:color w:val="000000"/>
          <w:shd w:val="clear" w:color="auto" w:fill="FFFFFF"/>
        </w:rPr>
        <w:t>with increasing PBAT content in the blend</w:t>
      </w:r>
      <w:r w:rsidR="00717536">
        <w:rPr>
          <w:color w:val="000000"/>
          <w:shd w:val="clear" w:color="auto" w:fill="FFFFFF"/>
        </w:rPr>
        <w:t>s</w:t>
      </w:r>
      <w:r w:rsidR="008F2DAA" w:rsidRPr="008F2DAA">
        <w:rPr>
          <w:color w:val="000000"/>
          <w:shd w:val="clear" w:color="auto" w:fill="FFFFFF"/>
        </w:rPr>
        <w:t xml:space="preserve">. </w:t>
      </w:r>
      <w:r w:rsidR="00D52725">
        <w:rPr>
          <w:color w:val="000000"/>
          <w:shd w:val="clear" w:color="auto" w:fill="FFFFFF"/>
        </w:rPr>
        <w:t>The effects of molecular structure and interactions in PLA-PBAT blends on gas transport have also been investigated.</w:t>
      </w:r>
    </w:p>
    <w:p w14:paraId="6677017B" w14:textId="77777777" w:rsidR="007C2712" w:rsidRPr="002D62C4" w:rsidRDefault="007C2712" w:rsidP="007C2712">
      <w:pPr>
        <w:rPr>
          <w:i/>
          <w:sz w:val="20"/>
          <w:szCs w:val="20"/>
        </w:rPr>
      </w:pPr>
      <w:r w:rsidRPr="002D62C4">
        <w:rPr>
          <w:i/>
          <w:sz w:val="20"/>
          <w:szCs w:val="20"/>
        </w:rPr>
        <w:t>References:</w:t>
      </w:r>
    </w:p>
    <w:p w14:paraId="299FD69F" w14:textId="57B26CD0" w:rsidR="00771E2E" w:rsidRPr="002D62C4" w:rsidRDefault="001E26B5" w:rsidP="006913D1">
      <w:pPr>
        <w:numPr>
          <w:ilvl w:val="0"/>
          <w:numId w:val="1"/>
        </w:numPr>
        <w:rPr>
          <w:i/>
          <w:iCs/>
          <w:color w:val="222222"/>
          <w:sz w:val="20"/>
          <w:szCs w:val="20"/>
          <w:shd w:val="clear" w:color="auto" w:fill="FFFFFF"/>
        </w:rPr>
      </w:pPr>
      <w:proofErr w:type="spellStart"/>
      <w:r w:rsidRPr="002D62C4">
        <w:rPr>
          <w:i/>
          <w:iCs/>
          <w:color w:val="222222"/>
          <w:sz w:val="20"/>
          <w:szCs w:val="20"/>
          <w:shd w:val="clear" w:color="auto" w:fill="FFFFFF"/>
        </w:rPr>
        <w:t>Ludwiczak</w:t>
      </w:r>
      <w:proofErr w:type="spellEnd"/>
      <w:r w:rsidRPr="002D62C4">
        <w:rPr>
          <w:i/>
          <w:iCs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 w:rsidRPr="002D62C4">
        <w:rPr>
          <w:i/>
          <w:iCs/>
          <w:color w:val="222222"/>
          <w:sz w:val="20"/>
          <w:szCs w:val="20"/>
          <w:shd w:val="clear" w:color="auto" w:fill="FFFFFF"/>
        </w:rPr>
        <w:t>Frąckowiak</w:t>
      </w:r>
      <w:proofErr w:type="spellEnd"/>
      <w:r w:rsidRPr="002D62C4">
        <w:rPr>
          <w:i/>
          <w:iCs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 w:rsidRPr="002D62C4">
        <w:rPr>
          <w:i/>
          <w:iCs/>
          <w:color w:val="222222"/>
          <w:sz w:val="20"/>
          <w:szCs w:val="20"/>
          <w:shd w:val="clear" w:color="auto" w:fill="FFFFFF"/>
        </w:rPr>
        <w:t>Leluk</w:t>
      </w:r>
      <w:proofErr w:type="spellEnd"/>
      <w:r w:rsidRPr="002D62C4">
        <w:rPr>
          <w:i/>
          <w:iCs/>
          <w:color w:val="222222"/>
          <w:sz w:val="20"/>
          <w:szCs w:val="20"/>
          <w:shd w:val="clear" w:color="auto" w:fill="FFFFFF"/>
        </w:rPr>
        <w:t>, K. (2021). Study of Thermal, Mechanical and Barrier Properties of Biodegradable PLA/PBAT Films with Highly Oriented MMT. Materials, 14(23), 7189.</w:t>
      </w:r>
    </w:p>
    <w:p w14:paraId="58F70896" w14:textId="77777777" w:rsidR="00002777" w:rsidRPr="006913D1" w:rsidRDefault="00002777" w:rsidP="006913D1">
      <w:pPr>
        <w:numPr>
          <w:ilvl w:val="0"/>
          <w:numId w:val="1"/>
        </w:numPr>
        <w:rPr>
          <w:i/>
          <w:iCs/>
          <w:color w:val="222222"/>
          <w:sz w:val="20"/>
          <w:szCs w:val="20"/>
          <w:shd w:val="clear" w:color="auto" w:fill="FFFFFF"/>
        </w:rPr>
      </w:pPr>
      <w:r w:rsidRPr="006913D1">
        <w:rPr>
          <w:i/>
          <w:iCs/>
          <w:color w:val="222222"/>
          <w:sz w:val="20"/>
          <w:szCs w:val="20"/>
          <w:shd w:val="clear" w:color="auto" w:fill="FFFFFF"/>
        </w:rPr>
        <w:t>Wei, Q., Sun, D., Zhang, K., Wang, Y., Guo, Y., &amp; Wang, Y. (2021). Research on the miscibility, mechanical properties and printability of polylactic acid/poly (ε-caprolactone) blends: insights from molecular dynamics simulation and experiments. Journal of Materials Science, 56(16), 9754-9768.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  <w:gridCol w:w="2759"/>
        <w:gridCol w:w="2788"/>
      </w:tblGrid>
      <w:tr w:rsidR="00241F43" w:rsidRPr="002D62C4" w14:paraId="58FAA53F" w14:textId="77777777" w:rsidTr="00AB28D3">
        <w:tc>
          <w:tcPr>
            <w:tcW w:w="3005" w:type="dxa"/>
          </w:tcPr>
          <w:p w14:paraId="2B65EA15" w14:textId="77777777" w:rsidR="00AB28D3" w:rsidRPr="002D62C4" w:rsidRDefault="00AB28D3" w:rsidP="00AB28D3">
            <w:pPr>
              <w:rPr>
                <w:color w:val="222222"/>
                <w:sz w:val="16"/>
                <w:szCs w:val="16"/>
                <w:shd w:val="clear" w:color="auto" w:fill="FFFFFF"/>
              </w:rPr>
            </w:pPr>
            <w:r w:rsidRPr="002D62C4">
              <w:rPr>
                <w:noProof/>
                <w:color w:val="222222"/>
                <w:sz w:val="16"/>
                <w:szCs w:val="16"/>
                <w:shd w:val="clear" w:color="auto" w:fill="FFFFFF"/>
                <w:lang w:eastAsia="en-IN"/>
              </w:rPr>
              <w:drawing>
                <wp:inline distT="0" distB="0" distL="0" distR="0" wp14:anchorId="1CD735F9" wp14:editId="7491BE1A">
                  <wp:extent cx="1638300" cy="9124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PLA +20H2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112" cy="92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D38DC" w14:textId="5AE727A3" w:rsidR="00AB28D3" w:rsidRPr="002D62C4" w:rsidRDefault="00AB28D3" w:rsidP="00AB28D3">
            <w:pPr>
              <w:rPr>
                <w:color w:val="222222"/>
                <w:sz w:val="16"/>
                <w:szCs w:val="16"/>
                <w:shd w:val="clear" w:color="auto" w:fill="FFFFFF"/>
              </w:rPr>
            </w:pP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  <w:r w:rsidR="005C5C5D">
              <w:rPr>
                <w:color w:val="222222"/>
                <w:sz w:val="16"/>
                <w:szCs w:val="16"/>
                <w:shd w:val="clear" w:color="auto" w:fill="FFFFFF"/>
              </w:rPr>
              <w:t xml:space="preserve">     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>4 PLA</w:t>
            </w:r>
            <w:r w:rsidR="00CB17F8">
              <w:rPr>
                <w:color w:val="222222"/>
                <w:sz w:val="16"/>
                <w:szCs w:val="16"/>
                <w:shd w:val="clear" w:color="auto" w:fill="FFFFFF"/>
              </w:rPr>
              <w:t xml:space="preserve"> (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>100</w:t>
            </w:r>
            <w:r w:rsidR="00CB17F8">
              <w:rPr>
                <w:color w:val="222222"/>
                <w:sz w:val="16"/>
                <w:szCs w:val="16"/>
                <w:shd w:val="clear" w:color="auto" w:fill="FFFFFF"/>
              </w:rPr>
              <w:t xml:space="preserve"> units)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 xml:space="preserve"> + 20H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  <w:vertAlign w:val="subscript"/>
              </w:rPr>
              <w:t>2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3005" w:type="dxa"/>
          </w:tcPr>
          <w:p w14:paraId="47E88E62" w14:textId="77777777" w:rsidR="00AB28D3" w:rsidRPr="002D62C4" w:rsidRDefault="00AB28D3" w:rsidP="00AB28D3">
            <w:pPr>
              <w:rPr>
                <w:color w:val="222222"/>
                <w:sz w:val="16"/>
                <w:szCs w:val="16"/>
                <w:shd w:val="clear" w:color="auto" w:fill="FFFFFF"/>
              </w:rPr>
            </w:pPr>
            <w:r w:rsidRPr="002D62C4">
              <w:rPr>
                <w:noProof/>
                <w:color w:val="222222"/>
                <w:sz w:val="16"/>
                <w:szCs w:val="16"/>
                <w:shd w:val="clear" w:color="auto" w:fill="FFFFFF"/>
                <w:lang w:eastAsia="en-IN"/>
              </w:rPr>
              <w:drawing>
                <wp:inline distT="0" distB="0" distL="0" distR="0" wp14:anchorId="7BC51654" wp14:editId="1BF09BC2">
                  <wp:extent cx="1637968" cy="912495"/>
                  <wp:effectExtent l="0" t="0" r="63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PBAT_50 +20H20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2" t="-1" r="15325" b="5772"/>
                          <a:stretch/>
                        </pic:blipFill>
                        <pic:spPr bwMode="auto">
                          <a:xfrm>
                            <a:off x="0" y="0"/>
                            <a:ext cx="1676599" cy="934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BB2BA2" w14:textId="195B3403" w:rsidR="00AB28D3" w:rsidRPr="002D62C4" w:rsidRDefault="00AB28D3" w:rsidP="00AB28D3">
            <w:pPr>
              <w:rPr>
                <w:color w:val="222222"/>
                <w:sz w:val="16"/>
                <w:szCs w:val="16"/>
                <w:shd w:val="clear" w:color="auto" w:fill="FFFFFF"/>
              </w:rPr>
            </w:pP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 xml:space="preserve">     </w:t>
            </w:r>
            <w:r w:rsidR="005C5C5D">
              <w:rPr>
                <w:color w:val="222222"/>
                <w:sz w:val="16"/>
                <w:szCs w:val="16"/>
                <w:shd w:val="clear" w:color="auto" w:fill="FFFFFF"/>
              </w:rPr>
              <w:t xml:space="preserve">       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>4 PBAT</w:t>
            </w:r>
            <w:r w:rsidR="00CB17F8">
              <w:rPr>
                <w:color w:val="222222"/>
                <w:sz w:val="16"/>
                <w:szCs w:val="16"/>
                <w:shd w:val="clear" w:color="auto" w:fill="FFFFFF"/>
              </w:rPr>
              <w:t xml:space="preserve"> (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>50</w:t>
            </w:r>
            <w:r w:rsidR="00CB17F8">
              <w:rPr>
                <w:color w:val="222222"/>
                <w:sz w:val="16"/>
                <w:szCs w:val="16"/>
                <w:shd w:val="clear" w:color="auto" w:fill="FFFFFF"/>
              </w:rPr>
              <w:t xml:space="preserve"> units)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 xml:space="preserve"> + 20H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  <w:vertAlign w:val="subscript"/>
              </w:rPr>
              <w:t>2</w:t>
            </w:r>
            <w:r w:rsidRPr="002D62C4">
              <w:rPr>
                <w:color w:val="222222"/>
                <w:sz w:val="16"/>
                <w:szCs w:val="16"/>
                <w:shd w:val="clear" w:color="auto" w:fill="FFFFFF"/>
              </w:rPr>
              <w:t>O</w:t>
            </w:r>
          </w:p>
        </w:tc>
        <w:tc>
          <w:tcPr>
            <w:tcW w:w="3006" w:type="dxa"/>
          </w:tcPr>
          <w:p w14:paraId="1B8828AB" w14:textId="77777777" w:rsidR="00AB28D3" w:rsidRPr="002D62C4" w:rsidRDefault="00AB28D3" w:rsidP="00AB28D3">
            <w:pPr>
              <w:rPr>
                <w:color w:val="222222"/>
                <w:sz w:val="16"/>
                <w:szCs w:val="16"/>
                <w:shd w:val="clear" w:color="auto" w:fill="FFFFFF"/>
              </w:rPr>
            </w:pPr>
            <w:r w:rsidRPr="002D62C4">
              <w:rPr>
                <w:noProof/>
                <w:color w:val="222222"/>
                <w:sz w:val="16"/>
                <w:szCs w:val="16"/>
                <w:shd w:val="clear" w:color="auto" w:fill="FFFFFF"/>
                <w:lang w:eastAsia="en-IN"/>
              </w:rPr>
              <w:drawing>
                <wp:inline distT="0" distB="0" distL="0" distR="0" wp14:anchorId="7AA64ECD" wp14:editId="6FB4D038">
                  <wp:extent cx="1649730" cy="91059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PLA+2PBAT+20H2O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4" r="24933"/>
                          <a:stretch/>
                        </pic:blipFill>
                        <pic:spPr bwMode="auto">
                          <a:xfrm flipH="1">
                            <a:off x="0" y="0"/>
                            <a:ext cx="1756368" cy="96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85CC47" w14:textId="009E858E" w:rsidR="00AB28D3" w:rsidRPr="002D62C4" w:rsidRDefault="005C5C5D" w:rsidP="00AB28D3">
            <w:pPr>
              <w:rPr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      </w:t>
            </w:r>
            <w:r w:rsidR="00CB17F8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B28D3" w:rsidRPr="002D62C4">
              <w:rPr>
                <w:color w:val="222222"/>
                <w:sz w:val="16"/>
                <w:szCs w:val="16"/>
                <w:shd w:val="clear" w:color="auto" w:fill="FFFFFF"/>
              </w:rPr>
              <w:t>2</w:t>
            </w:r>
            <w:r w:rsidR="0055043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B28D3" w:rsidRPr="002D62C4">
              <w:rPr>
                <w:color w:val="222222"/>
                <w:sz w:val="16"/>
                <w:szCs w:val="16"/>
                <w:shd w:val="clear" w:color="auto" w:fill="FFFFFF"/>
              </w:rPr>
              <w:t>PLA + 2 PBAT + 20H</w:t>
            </w:r>
            <w:r w:rsidR="00AB28D3" w:rsidRPr="002D62C4">
              <w:rPr>
                <w:color w:val="222222"/>
                <w:sz w:val="16"/>
                <w:szCs w:val="16"/>
                <w:shd w:val="clear" w:color="auto" w:fill="FFFFFF"/>
                <w:vertAlign w:val="subscript"/>
              </w:rPr>
              <w:t>2</w:t>
            </w:r>
            <w:r w:rsidR="00AB28D3" w:rsidRPr="002D62C4">
              <w:rPr>
                <w:color w:val="222222"/>
                <w:sz w:val="16"/>
                <w:szCs w:val="16"/>
                <w:shd w:val="clear" w:color="auto" w:fill="FFFFFF"/>
              </w:rPr>
              <w:t>O</w:t>
            </w:r>
          </w:p>
        </w:tc>
      </w:tr>
    </w:tbl>
    <w:p w14:paraId="3987A866" w14:textId="498EA0ED" w:rsidR="00AB28D3" w:rsidRPr="00462D4A" w:rsidRDefault="00AB28D3" w:rsidP="00462D4A">
      <w:pPr>
        <w:tabs>
          <w:tab w:val="left" w:pos="1141"/>
        </w:tabs>
        <w:rPr>
          <w:sz w:val="22"/>
          <w:szCs w:val="22"/>
        </w:rPr>
      </w:pPr>
    </w:p>
    <w:sectPr w:rsidR="00AB28D3" w:rsidRPr="00462D4A" w:rsidSect="00462D4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2348"/>
    <w:multiLevelType w:val="hybridMultilevel"/>
    <w:tmpl w:val="9BE4040A"/>
    <w:lvl w:ilvl="0" w:tplc="2BF6D89A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54F2359"/>
    <w:multiLevelType w:val="hybridMultilevel"/>
    <w:tmpl w:val="B1CA3B3A"/>
    <w:lvl w:ilvl="0" w:tplc="841250A4">
      <w:start w:val="1"/>
      <w:numFmt w:val="decimal"/>
      <w:lvlText w:val="%1."/>
      <w:lvlJc w:val="left"/>
      <w:pPr>
        <w:ind w:left="502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AwNzE2NjI2MjU0NzRV0lEKTi0uzszPAymwrAUA5QmByCwAAAA="/>
  </w:docVars>
  <w:rsids>
    <w:rsidRoot w:val="00DB3343"/>
    <w:rsid w:val="00002777"/>
    <w:rsid w:val="00124EBE"/>
    <w:rsid w:val="00146ED0"/>
    <w:rsid w:val="0018481A"/>
    <w:rsid w:val="001C680C"/>
    <w:rsid w:val="001E26B5"/>
    <w:rsid w:val="00221EAE"/>
    <w:rsid w:val="00241F43"/>
    <w:rsid w:val="002747CC"/>
    <w:rsid w:val="002D62C4"/>
    <w:rsid w:val="003E77DF"/>
    <w:rsid w:val="004220F0"/>
    <w:rsid w:val="00427721"/>
    <w:rsid w:val="004345E3"/>
    <w:rsid w:val="00462D4A"/>
    <w:rsid w:val="004824F8"/>
    <w:rsid w:val="004D38DE"/>
    <w:rsid w:val="004F5FC3"/>
    <w:rsid w:val="005370D9"/>
    <w:rsid w:val="0055043B"/>
    <w:rsid w:val="005C5C5D"/>
    <w:rsid w:val="005C70FD"/>
    <w:rsid w:val="005E4423"/>
    <w:rsid w:val="00621AB0"/>
    <w:rsid w:val="00627A7D"/>
    <w:rsid w:val="006600F5"/>
    <w:rsid w:val="006913D1"/>
    <w:rsid w:val="006D26D3"/>
    <w:rsid w:val="006E4BB6"/>
    <w:rsid w:val="006E7E26"/>
    <w:rsid w:val="00717536"/>
    <w:rsid w:val="007526F5"/>
    <w:rsid w:val="00753392"/>
    <w:rsid w:val="00771E2E"/>
    <w:rsid w:val="007A43EC"/>
    <w:rsid w:val="007C2712"/>
    <w:rsid w:val="007E3F5C"/>
    <w:rsid w:val="007F78A8"/>
    <w:rsid w:val="00886FAD"/>
    <w:rsid w:val="008D2568"/>
    <w:rsid w:val="008F2DAA"/>
    <w:rsid w:val="009178D7"/>
    <w:rsid w:val="009E645C"/>
    <w:rsid w:val="009F2063"/>
    <w:rsid w:val="00A3113B"/>
    <w:rsid w:val="00A64919"/>
    <w:rsid w:val="00AB28D3"/>
    <w:rsid w:val="00AC11D7"/>
    <w:rsid w:val="00B1513E"/>
    <w:rsid w:val="00B641ED"/>
    <w:rsid w:val="00C35FEC"/>
    <w:rsid w:val="00C501F5"/>
    <w:rsid w:val="00CB17F8"/>
    <w:rsid w:val="00CD0DDC"/>
    <w:rsid w:val="00D52725"/>
    <w:rsid w:val="00D57A5D"/>
    <w:rsid w:val="00D808AD"/>
    <w:rsid w:val="00DB3343"/>
    <w:rsid w:val="00DE76AA"/>
    <w:rsid w:val="00E60A0D"/>
    <w:rsid w:val="00E978CF"/>
    <w:rsid w:val="00F738E4"/>
    <w:rsid w:val="00F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DABC"/>
  <w15:chartTrackingRefBased/>
  <w15:docId w15:val="{7B47631B-758C-4F11-B41B-40B866DA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3392"/>
    <w:pPr>
      <w:keepNext/>
      <w:keepLines/>
      <w:spacing w:before="240" w:after="12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92"/>
    <w:rPr>
      <w:rFonts w:eastAsiaTheme="majorEastAsia" w:cstheme="majorBidi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1AB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47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47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8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8C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71E2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28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28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7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5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5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5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mitkumar@iitg.ac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an@iitg.ac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496C1B-50A8-4CE3-9FA6-40297E38FD42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4FD2-20A4-45B8-94A4-E719CFF3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shanu</dc:creator>
  <cp:keywords/>
  <dc:description/>
  <cp:lastModifiedBy>kumar shanu</cp:lastModifiedBy>
  <cp:revision>8</cp:revision>
  <dcterms:created xsi:type="dcterms:W3CDTF">2023-03-27T16:56:00Z</dcterms:created>
  <dcterms:modified xsi:type="dcterms:W3CDTF">2023-04-18T14:38:00Z</dcterms:modified>
</cp:coreProperties>
</file>