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D" w:rsidRPr="006A7388" w:rsidRDefault="001941EF" w:rsidP="000734B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Novel magnetic responsive </w:t>
      </w:r>
      <w:proofErr w:type="spellStart"/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microactuator</w:t>
      </w:r>
      <w:proofErr w:type="spellEnd"/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for </w:t>
      </w:r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microfluidic-based </w:t>
      </w:r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p</w:t>
      </w:r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oint </w:t>
      </w:r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of </w:t>
      </w:r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care</w:t>
      </w:r>
      <w:bookmarkStart w:id="0" w:name="_GoBack"/>
      <w:bookmarkEnd w:id="0"/>
    </w:p>
    <w:p w:rsidR="00660096" w:rsidRPr="00A54E21" w:rsidRDefault="00477B03" w:rsidP="00660096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vertAlign w:val="superscript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Neeru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Yadav</w:t>
      </w:r>
      <w:r w:rsidRPr="00477B03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 w:rsidR="00660096" w:rsidRPr="00A54E21">
        <w:rPr>
          <w:rFonts w:ascii="Arial" w:hAnsi="Arial" w:cs="Arial"/>
          <w:b/>
          <w:bCs/>
          <w:sz w:val="20"/>
          <w:szCs w:val="20"/>
        </w:rPr>
        <w:t>, Prathu Raja Parmar</w:t>
      </w:r>
      <w:r w:rsidR="00660096" w:rsidRPr="00A54E21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 w:rsidR="00660096" w:rsidRPr="00A54E21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Nafisa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77B03">
        <w:rPr>
          <w:rFonts w:ascii="Arial" w:hAnsi="Arial" w:cs="Arial"/>
          <w:b/>
          <w:bCs/>
          <w:sz w:val="20"/>
          <w:szCs w:val="20"/>
        </w:rPr>
        <w:t>Arfa</w:t>
      </w:r>
      <w:r w:rsidRPr="00477B03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Saurabh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Dubey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660096" w:rsidRPr="00477B03">
        <w:rPr>
          <w:rFonts w:ascii="Arial" w:hAnsi="Arial" w:cs="Arial"/>
          <w:b/>
          <w:bCs/>
          <w:sz w:val="20"/>
          <w:szCs w:val="20"/>
          <w:u w:val="single"/>
        </w:rPr>
        <w:t>Dipankar</w:t>
      </w:r>
      <w:r w:rsidR="00660096" w:rsidRPr="00F818EA">
        <w:rPr>
          <w:rFonts w:ascii="Arial" w:hAnsi="Arial" w:cs="Arial"/>
          <w:b/>
          <w:bCs/>
          <w:sz w:val="20"/>
          <w:szCs w:val="20"/>
          <w:u w:val="single"/>
        </w:rPr>
        <w:t xml:space="preserve"> Bandyopadhyay</w:t>
      </w:r>
      <w:r w:rsidR="00660096" w:rsidRPr="00A54E21">
        <w:rPr>
          <w:rFonts w:ascii="Arial" w:hAnsi="Arial" w:cs="Arial"/>
          <w:b/>
          <w:bCs/>
          <w:sz w:val="20"/>
          <w:szCs w:val="20"/>
          <w:vertAlign w:val="superscript"/>
        </w:rPr>
        <w:t>1,2,3</w:t>
      </w:r>
    </w:p>
    <w:p w:rsidR="00660096" w:rsidRPr="00A54E21" w:rsidRDefault="00660096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54E21">
        <w:rPr>
          <w:rFonts w:ascii="Arial" w:hAnsi="Arial" w:cs="Arial"/>
          <w:sz w:val="20"/>
          <w:szCs w:val="20"/>
          <w:vertAlign w:val="superscript"/>
        </w:rPr>
        <w:t>1</w:t>
      </w:r>
      <w:r w:rsidRPr="00A54E21">
        <w:rPr>
          <w:rFonts w:ascii="Arial" w:hAnsi="Arial" w:cs="Arial"/>
          <w:sz w:val="20"/>
          <w:szCs w:val="20"/>
        </w:rPr>
        <w:t>Department of Chemical Engineering, Indian Institute of Technology Guwahati, Assam, India</w:t>
      </w:r>
    </w:p>
    <w:p w:rsidR="00660096" w:rsidRPr="00A54E21" w:rsidRDefault="00660096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54E21">
        <w:rPr>
          <w:rFonts w:ascii="Arial" w:hAnsi="Arial" w:cs="Arial"/>
          <w:sz w:val="20"/>
          <w:szCs w:val="20"/>
          <w:vertAlign w:val="superscript"/>
        </w:rPr>
        <w:t>2</w:t>
      </w:r>
      <w:r w:rsidRPr="00A54E21">
        <w:rPr>
          <w:rFonts w:ascii="Arial" w:hAnsi="Arial" w:cs="Arial"/>
          <w:sz w:val="20"/>
          <w:szCs w:val="20"/>
        </w:rPr>
        <w:t>Centre for Nanotechnology, Indian Institute of Technology Guwahati, Assam, India</w:t>
      </w:r>
    </w:p>
    <w:p w:rsidR="00660096" w:rsidRPr="00A54E21" w:rsidRDefault="00660096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54E21">
        <w:rPr>
          <w:rFonts w:ascii="Arial" w:hAnsi="Arial" w:cs="Arial"/>
          <w:sz w:val="20"/>
          <w:szCs w:val="20"/>
          <w:vertAlign w:val="superscript"/>
        </w:rPr>
        <w:t>3</w:t>
      </w:r>
      <w:r w:rsidRPr="00A54E21">
        <w:rPr>
          <w:rFonts w:ascii="Arial" w:hAnsi="Arial" w:cs="Arial"/>
          <w:sz w:val="20"/>
          <w:szCs w:val="20"/>
        </w:rPr>
        <w:t>School of Health Sciences and Technology, Indian Institute of Technology Guwahati, Assam, India</w:t>
      </w:r>
    </w:p>
    <w:p w:rsidR="00660096" w:rsidRDefault="00A54E21" w:rsidP="00A54E21">
      <w:pPr>
        <w:spacing w:line="240" w:lineRule="auto"/>
        <w:ind w:right="20"/>
        <w:jc w:val="center"/>
        <w:rPr>
          <w:rFonts w:ascii="Arial" w:eastAsia="Arial" w:hAnsi="Arial" w:cs="Arial"/>
          <w:i/>
          <w:sz w:val="20"/>
          <w:szCs w:val="20"/>
        </w:rPr>
      </w:pPr>
      <w:r w:rsidRPr="00A54E21">
        <w:rPr>
          <w:rFonts w:ascii="Arial" w:eastAsia="Arial" w:hAnsi="Arial" w:cs="Arial"/>
          <w:sz w:val="20"/>
          <w:szCs w:val="20"/>
        </w:rPr>
        <w:t>E-mail</w:t>
      </w:r>
      <w:r w:rsidR="00660096" w:rsidRPr="00A54E21">
        <w:rPr>
          <w:rFonts w:ascii="Arial" w:eastAsia="Arial" w:hAnsi="Arial" w:cs="Arial"/>
          <w:sz w:val="20"/>
          <w:szCs w:val="20"/>
        </w:rPr>
        <w:t xml:space="preserve">: </w:t>
      </w:r>
      <w:r w:rsidRPr="00F818EA">
        <w:rPr>
          <w:rFonts w:ascii="Arial" w:eastAsia="Arial" w:hAnsi="Arial" w:cs="Arial"/>
          <w:i/>
          <w:sz w:val="20"/>
          <w:szCs w:val="20"/>
        </w:rPr>
        <w:t>dipban@iitg.ac.in</w:t>
      </w:r>
    </w:p>
    <w:p w:rsidR="00A54E21" w:rsidRPr="00F818EA" w:rsidRDefault="00A54E21" w:rsidP="00A54E21">
      <w:pPr>
        <w:spacing w:line="240" w:lineRule="auto"/>
        <w:ind w:right="20"/>
        <w:jc w:val="center"/>
        <w:rPr>
          <w:rFonts w:ascii="Arial" w:eastAsia="Arial" w:hAnsi="Arial" w:cs="Arial"/>
          <w:sz w:val="20"/>
          <w:szCs w:val="20"/>
        </w:rPr>
      </w:pPr>
    </w:p>
    <w:p w:rsidR="00F818EA" w:rsidRPr="00F818EA" w:rsidRDefault="005C11FA" w:rsidP="00F818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8EA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477B03" w:rsidRDefault="00477B03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novel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intelligent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magnetorheological elastomer (MRE) composite-based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microactuator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been developed. MRE 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uses an inventive actuation mechanism including pumps, mixers, and without any delicate components into a modular microfluidic chip based on revolutionary manipulation principles is provided to accelerate the microfluidic-based POC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(Point </w:t>
      </w:r>
      <w:r w:rsidR="006A73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care)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systems. MRE is composed of a suspension of ferromagnetic filler as magnetically polarizable particles embedded in the non-polarizable matrix of deformable elastomers. An external field is used to magnetize the composite, and the magnetization will completely vanish when the field is turned off. MREs' magneto-mechanical performance can be maximized by choosing an appropriate particle mixing ratio (nearly 10%). The magnetic field that is being applied has a significant impact on the material's viscoelastic properties. Due to the attraction of a modifiable magnetic field, the MRE body gets deformed. Altering magnetic fields are used to control the fluids flowing through the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microchannels</w:t>
      </w:r>
      <w:proofErr w:type="spellEnd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Thus, MRE has been utilized in microfluidic systems as an actuation mechanism for controlling fluid flow and manipulating particles and droplets. The demonstrated MRE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microactuators</w:t>
      </w:r>
      <w:proofErr w:type="spellEnd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compact, straightforward, and efficient systems with easily adjustable mechanical properties that hold 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considerable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potential </w:t>
      </w:r>
      <w:r w:rsidRPr="00993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improve the state-of-the-art study of sophisticated microfluidic systems significantly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C11FA" w:rsidRDefault="00B06C66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54E2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Keywords:</w:t>
      </w:r>
      <w:r w:rsidR="00477B03" w:rsidRPr="00477B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</w:t>
      </w:r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icroactuator</w:t>
      </w:r>
      <w:proofErr w:type="spellEnd"/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magnetically polarizable particles</w:t>
      </w:r>
      <w:r w:rsidR="0010408D" w:rsidRPr="00477B03">
        <w:rPr>
          <w:rFonts w:ascii="Times New Roman" w:hAnsi="Times New Roman" w:cs="Times New Roman"/>
          <w:sz w:val="20"/>
          <w:szCs w:val="20"/>
        </w:rPr>
        <w:t>,</w:t>
      </w:r>
      <w:r w:rsidR="0010408D" w:rsidRPr="00477B03">
        <w:rPr>
          <w:rFonts w:ascii="Times New Roman" w:hAnsi="Times New Roman" w:cs="Times New Roman"/>
          <w:sz w:val="20"/>
          <w:szCs w:val="20"/>
        </w:rPr>
        <w:t xml:space="preserve"> </w:t>
      </w:r>
      <w:r w:rsidR="00477B03" w:rsidRPr="00477B03">
        <w:rPr>
          <w:rFonts w:ascii="Times New Roman" w:hAnsi="Times New Roman" w:cs="Times New Roman"/>
          <w:sz w:val="20"/>
          <w:szCs w:val="20"/>
        </w:rPr>
        <w:t>elastomer</w:t>
      </w:r>
      <w:r w:rsidR="0010408D" w:rsidRPr="00477B03">
        <w:rPr>
          <w:rFonts w:ascii="Times New Roman" w:hAnsi="Times New Roman" w:cs="Times New Roman"/>
          <w:sz w:val="20"/>
          <w:szCs w:val="20"/>
        </w:rPr>
        <w:t xml:space="preserve">, </w:t>
      </w:r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magnetic field</w:t>
      </w:r>
    </w:p>
    <w:p w:rsidR="001941EF" w:rsidRDefault="001941EF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1941EF" w:rsidRPr="00DE7F1B" w:rsidRDefault="001941EF" w:rsidP="00477B03">
      <w:pPr>
        <w:spacing w:line="240" w:lineRule="auto"/>
        <w:jc w:val="both"/>
        <w:rPr>
          <w:rFonts w:ascii="Times New Roman" w:hAnsi="Times New Roman" w:cs="Times New Roman"/>
        </w:rPr>
      </w:pPr>
    </w:p>
    <w:p w:rsidR="00DF1F23" w:rsidRPr="001941EF" w:rsidRDefault="001941EF" w:rsidP="00194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631EE16" wp14:editId="148771E0">
            <wp:extent cx="3163077" cy="147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21" cy="14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3" w:rsidRPr="00DF1F23" w:rsidRDefault="00DF1F23" w:rsidP="0004413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F1F2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Figure 1.</w:t>
      </w:r>
      <w:r w:rsidRPr="00DF1F2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Schematic illustration of</w:t>
      </w:r>
      <w:r w:rsidR="001941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working mechanism of MRE</w:t>
      </w:r>
      <w:r w:rsidRPr="00DF1F2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DF1F23" w:rsidRPr="00DF1F23" w:rsidSect="00F818EA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C2" w:rsidRDefault="006908C2" w:rsidP="00044134">
      <w:pPr>
        <w:spacing w:after="0" w:line="240" w:lineRule="auto"/>
      </w:pPr>
      <w:r>
        <w:separator/>
      </w:r>
    </w:p>
  </w:endnote>
  <w:endnote w:type="continuationSeparator" w:id="0">
    <w:p w:rsidR="006908C2" w:rsidRDefault="006908C2" w:rsidP="0004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C2" w:rsidRDefault="006908C2" w:rsidP="00044134">
      <w:pPr>
        <w:spacing w:after="0" w:line="240" w:lineRule="auto"/>
      </w:pPr>
      <w:r>
        <w:separator/>
      </w:r>
    </w:p>
  </w:footnote>
  <w:footnote w:type="continuationSeparator" w:id="0">
    <w:p w:rsidR="006908C2" w:rsidRDefault="006908C2" w:rsidP="0004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134" w:rsidRDefault="00044134" w:rsidP="00044134">
    <w:pPr>
      <w:pStyle w:val="Header"/>
      <w:jc w:val="center"/>
    </w:pPr>
    <w:r>
      <w:rPr>
        <w:noProof/>
        <w:lang w:eastAsia="en-IN"/>
      </w:rPr>
      <w:drawing>
        <wp:inline distT="0" distB="0" distL="0" distR="0">
          <wp:extent cx="1809750" cy="59880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4134" w:rsidRDefault="00044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5C"/>
    <w:rsid w:val="00044134"/>
    <w:rsid w:val="000734BD"/>
    <w:rsid w:val="00075FF8"/>
    <w:rsid w:val="0010408D"/>
    <w:rsid w:val="001941EF"/>
    <w:rsid w:val="001B0D2A"/>
    <w:rsid w:val="00345562"/>
    <w:rsid w:val="00477B03"/>
    <w:rsid w:val="005C11FA"/>
    <w:rsid w:val="00660096"/>
    <w:rsid w:val="006908C2"/>
    <w:rsid w:val="006A7388"/>
    <w:rsid w:val="006F065D"/>
    <w:rsid w:val="007144A4"/>
    <w:rsid w:val="007F619B"/>
    <w:rsid w:val="00851F02"/>
    <w:rsid w:val="008A01F6"/>
    <w:rsid w:val="009012A9"/>
    <w:rsid w:val="00914150"/>
    <w:rsid w:val="00951244"/>
    <w:rsid w:val="00952ABD"/>
    <w:rsid w:val="009E168F"/>
    <w:rsid w:val="009E285C"/>
    <w:rsid w:val="00A45FBA"/>
    <w:rsid w:val="00A54E21"/>
    <w:rsid w:val="00A652E5"/>
    <w:rsid w:val="00AA6CA7"/>
    <w:rsid w:val="00B06C66"/>
    <w:rsid w:val="00BA7587"/>
    <w:rsid w:val="00C331B5"/>
    <w:rsid w:val="00C543F6"/>
    <w:rsid w:val="00D230B9"/>
    <w:rsid w:val="00D258AD"/>
    <w:rsid w:val="00D771B1"/>
    <w:rsid w:val="00DE7F1B"/>
    <w:rsid w:val="00DF1F23"/>
    <w:rsid w:val="00F70377"/>
    <w:rsid w:val="00F818EA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7E829A"/>
  <w15:chartTrackingRefBased/>
  <w15:docId w15:val="{33D3E824-FBEB-44B8-8555-ABCA9694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34"/>
  </w:style>
  <w:style w:type="paragraph" w:styleId="Footer">
    <w:name w:val="footer"/>
    <w:basedOn w:val="Normal"/>
    <w:link w:val="FooterChar"/>
    <w:uiPriority w:val="99"/>
    <w:unhideWhenUsed/>
    <w:rsid w:val="0004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8EC4-F05B-46CA-BCD5-D3B26037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ACHARYA</dc:creator>
  <cp:keywords/>
  <dc:description/>
  <cp:lastModifiedBy>Prathu Raja Parmar</cp:lastModifiedBy>
  <cp:revision>6</cp:revision>
  <dcterms:created xsi:type="dcterms:W3CDTF">2023-04-15T10:39:00Z</dcterms:created>
  <dcterms:modified xsi:type="dcterms:W3CDTF">2023-04-19T12:05:00Z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5b2e6a690f83a47bf1b54d30da9479dc8ba2fb0c3bb8073031369aae4d1b87f8</vt:lpwstr>
  </property>
</Properties>
</file>