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4CF58" w14:textId="77777777" w:rsidR="00F86675" w:rsidRPr="00220CC9" w:rsidRDefault="00F86675" w:rsidP="008E3028">
      <w:pPr>
        <w:spacing w:line="360" w:lineRule="auto"/>
        <w:jc w:val="center"/>
        <w:rPr>
          <w:b/>
          <w:sz w:val="22"/>
        </w:rPr>
      </w:pPr>
      <w:r w:rsidRPr="00220CC9">
        <w:rPr>
          <w:b/>
          <w:sz w:val="22"/>
        </w:rPr>
        <w:t xml:space="preserve">Investigating the potential of the </w:t>
      </w:r>
      <w:proofErr w:type="spellStart"/>
      <w:r w:rsidRPr="00220CC9">
        <w:rPr>
          <w:b/>
          <w:sz w:val="22"/>
        </w:rPr>
        <w:t>ErpY</w:t>
      </w:r>
      <w:proofErr w:type="spellEnd"/>
      <w:r w:rsidRPr="00220CC9">
        <w:rPr>
          <w:b/>
          <w:sz w:val="22"/>
        </w:rPr>
        <w:t xml:space="preserve">-like protein of </w:t>
      </w:r>
      <w:proofErr w:type="spellStart"/>
      <w:r w:rsidRPr="00220CC9">
        <w:rPr>
          <w:b/>
          <w:i/>
          <w:sz w:val="22"/>
        </w:rPr>
        <w:t>Leptospira</w:t>
      </w:r>
      <w:proofErr w:type="spellEnd"/>
      <w:r w:rsidRPr="00220CC9">
        <w:rPr>
          <w:b/>
          <w:sz w:val="22"/>
        </w:rPr>
        <w:t xml:space="preserve"> in regulating hemostasis</w:t>
      </w:r>
    </w:p>
    <w:p w14:paraId="45189138" w14:textId="56F991A2" w:rsidR="0021315C" w:rsidRDefault="0021315C" w:rsidP="008E3028">
      <w:pPr>
        <w:spacing w:after="160" w:line="360" w:lineRule="auto"/>
        <w:jc w:val="center"/>
        <w:rPr>
          <w:b/>
          <w:sz w:val="20"/>
          <w:szCs w:val="22"/>
        </w:rPr>
      </w:pPr>
      <w:r w:rsidRPr="00220CC9">
        <w:rPr>
          <w:b/>
          <w:sz w:val="20"/>
          <w:szCs w:val="22"/>
          <w:u w:val="single"/>
        </w:rPr>
        <w:t>Saswat Hota</w:t>
      </w:r>
      <w:r w:rsidRPr="00220CC9">
        <w:rPr>
          <w:b/>
          <w:sz w:val="20"/>
          <w:szCs w:val="22"/>
        </w:rPr>
        <w:t xml:space="preserve"> and Manish Kumar</w:t>
      </w:r>
      <w:r w:rsidR="00624A77" w:rsidRPr="00220CC9">
        <w:rPr>
          <w:b/>
          <w:sz w:val="20"/>
          <w:szCs w:val="22"/>
        </w:rPr>
        <w:t>*</w:t>
      </w:r>
    </w:p>
    <w:p w14:paraId="6FF46FF8" w14:textId="0F786519" w:rsidR="008E3028" w:rsidRPr="00220CC9" w:rsidRDefault="008E3028" w:rsidP="004B459A">
      <w:pPr>
        <w:spacing w:line="360" w:lineRule="auto"/>
        <w:jc w:val="center"/>
        <w:rPr>
          <w:sz w:val="20"/>
          <w:szCs w:val="22"/>
        </w:rPr>
      </w:pPr>
      <w:r w:rsidRPr="00220CC9">
        <w:rPr>
          <w:sz w:val="20"/>
          <w:szCs w:val="22"/>
        </w:rPr>
        <w:t>Department of Biosciences and Bioengineering, Indian Institute of Technology Guwahati, Guwahati, Assam, 781039</w:t>
      </w:r>
    </w:p>
    <w:p w14:paraId="4F855066" w14:textId="14BB3B9E" w:rsidR="002E3200" w:rsidRDefault="004B459A" w:rsidP="004B459A">
      <w:pPr>
        <w:widowControl w:val="0"/>
        <w:autoSpaceDE w:val="0"/>
        <w:autoSpaceDN w:val="0"/>
        <w:adjustRightInd w:val="0"/>
        <w:spacing w:before="9"/>
        <w:ind w:right="4382"/>
        <w:jc w:val="center"/>
        <w:rPr>
          <w:rStyle w:val="Hyperlink"/>
          <w:i/>
          <w:iCs/>
          <w:w w:val="89"/>
          <w:sz w:val="18"/>
          <w:szCs w:val="20"/>
        </w:rPr>
      </w:pPr>
      <w:r>
        <w:rPr>
          <w:sz w:val="18"/>
          <w:szCs w:val="20"/>
        </w:rPr>
        <w:t xml:space="preserve">                                                                                       </w:t>
      </w:r>
      <w:r w:rsidR="0039020C" w:rsidRPr="00220CC9">
        <w:rPr>
          <w:sz w:val="18"/>
          <w:szCs w:val="20"/>
        </w:rPr>
        <w:t>E-mail:</w:t>
      </w:r>
      <w:r w:rsidR="0039020C" w:rsidRPr="00220CC9">
        <w:rPr>
          <w:spacing w:val="-19"/>
          <w:sz w:val="18"/>
          <w:szCs w:val="20"/>
        </w:rPr>
        <w:t xml:space="preserve"> </w:t>
      </w:r>
      <w:hyperlink r:id="rId7" w:history="1">
        <w:r w:rsidR="0039020C" w:rsidRPr="00220CC9">
          <w:rPr>
            <w:rStyle w:val="Hyperlink"/>
            <w:i/>
            <w:iCs/>
            <w:w w:val="93"/>
            <w:sz w:val="18"/>
            <w:szCs w:val="20"/>
          </w:rPr>
          <w:t>saswat.hota@iitg</w:t>
        </w:r>
        <w:r w:rsidR="0039020C" w:rsidRPr="00220CC9">
          <w:rPr>
            <w:rStyle w:val="Hyperlink"/>
            <w:i/>
            <w:iCs/>
            <w:w w:val="89"/>
            <w:sz w:val="18"/>
            <w:szCs w:val="20"/>
          </w:rPr>
          <w:t>.ac.in</w:t>
        </w:r>
      </w:hyperlink>
    </w:p>
    <w:p w14:paraId="4EAC718F" w14:textId="77777777" w:rsidR="008E3028" w:rsidRPr="00220CC9" w:rsidRDefault="008E3028" w:rsidP="008E3028">
      <w:pPr>
        <w:widowControl w:val="0"/>
        <w:autoSpaceDE w:val="0"/>
        <w:autoSpaceDN w:val="0"/>
        <w:adjustRightInd w:val="0"/>
        <w:spacing w:before="9"/>
        <w:ind w:right="4382"/>
        <w:jc w:val="center"/>
        <w:rPr>
          <w:sz w:val="20"/>
          <w:szCs w:val="22"/>
        </w:rPr>
      </w:pPr>
    </w:p>
    <w:p w14:paraId="670BD40A" w14:textId="16B81CB5" w:rsidR="00842F69" w:rsidRDefault="00B74712" w:rsidP="00CC01F1">
      <w:pPr>
        <w:spacing w:line="360" w:lineRule="auto"/>
        <w:ind w:firstLine="720"/>
        <w:jc w:val="both"/>
        <w:rPr>
          <w:sz w:val="20"/>
          <w:szCs w:val="22"/>
        </w:rPr>
      </w:pPr>
      <w:r w:rsidRPr="00220CC9">
        <w:rPr>
          <w:sz w:val="20"/>
          <w:szCs w:val="22"/>
        </w:rPr>
        <w:t>The onset of l</w:t>
      </w:r>
      <w:r w:rsidR="00696CA5" w:rsidRPr="00220CC9">
        <w:rPr>
          <w:sz w:val="20"/>
          <w:szCs w:val="22"/>
        </w:rPr>
        <w:t xml:space="preserve">eptospirosis caused by the pathogenic </w:t>
      </w:r>
      <w:proofErr w:type="spellStart"/>
      <w:r w:rsidR="00696CA5" w:rsidRPr="00220CC9">
        <w:rPr>
          <w:i/>
          <w:sz w:val="20"/>
          <w:szCs w:val="22"/>
        </w:rPr>
        <w:t>Leptospira</w:t>
      </w:r>
      <w:proofErr w:type="spellEnd"/>
      <w:r w:rsidR="00696CA5" w:rsidRPr="00220CC9">
        <w:rPr>
          <w:sz w:val="20"/>
          <w:szCs w:val="22"/>
        </w:rPr>
        <w:t xml:space="preserve"> depends on its ability to survive in the host by evading and countering the immune response</w:t>
      </w:r>
      <w:r w:rsidR="003920AD" w:rsidRPr="00220CC9">
        <w:rPr>
          <w:sz w:val="20"/>
          <w:szCs w:val="22"/>
        </w:rPr>
        <w:t xml:space="preserve"> and</w:t>
      </w:r>
      <w:r w:rsidR="00696CA5" w:rsidRPr="00220CC9">
        <w:rPr>
          <w:sz w:val="20"/>
          <w:szCs w:val="22"/>
        </w:rPr>
        <w:t xml:space="preserve"> spreading to different host tissues</w:t>
      </w:r>
      <w:r w:rsidR="00F86675" w:rsidRPr="00220CC9">
        <w:rPr>
          <w:sz w:val="20"/>
          <w:szCs w:val="22"/>
        </w:rPr>
        <w:t xml:space="preserve"> [1, 4]</w:t>
      </w:r>
      <w:r w:rsidR="00696CA5" w:rsidRPr="00220CC9">
        <w:rPr>
          <w:sz w:val="20"/>
          <w:szCs w:val="22"/>
        </w:rPr>
        <w:t>.</w:t>
      </w:r>
      <w:r w:rsidR="00F86675" w:rsidRPr="00220CC9">
        <w:rPr>
          <w:sz w:val="20"/>
          <w:szCs w:val="22"/>
        </w:rPr>
        <w:t xml:space="preserve"> Like other pathogens, </w:t>
      </w:r>
      <w:proofErr w:type="spellStart"/>
      <w:r w:rsidR="00F86675" w:rsidRPr="00220CC9">
        <w:rPr>
          <w:i/>
          <w:sz w:val="20"/>
          <w:szCs w:val="22"/>
        </w:rPr>
        <w:t>Leptospira</w:t>
      </w:r>
      <w:proofErr w:type="spellEnd"/>
      <w:r w:rsidR="00F86675" w:rsidRPr="00220CC9">
        <w:rPr>
          <w:i/>
          <w:sz w:val="20"/>
          <w:szCs w:val="22"/>
        </w:rPr>
        <w:t xml:space="preserve"> </w:t>
      </w:r>
      <w:r w:rsidR="00F86675" w:rsidRPr="00220CC9">
        <w:rPr>
          <w:sz w:val="20"/>
          <w:szCs w:val="22"/>
        </w:rPr>
        <w:t xml:space="preserve">expresses multiple virulence factors </w:t>
      </w:r>
      <w:proofErr w:type="spellStart"/>
      <w:r w:rsidR="00F86675" w:rsidRPr="00220CC9">
        <w:rPr>
          <w:sz w:val="20"/>
          <w:szCs w:val="22"/>
        </w:rPr>
        <w:t>factors</w:t>
      </w:r>
      <w:proofErr w:type="spellEnd"/>
      <w:r w:rsidR="00F86675" w:rsidRPr="00220CC9">
        <w:rPr>
          <w:sz w:val="20"/>
          <w:szCs w:val="22"/>
        </w:rPr>
        <w:t xml:space="preserve"> that interfere with immune signaling pathways, inhibiting the host's defense mechanisms to facilitate inf</w:t>
      </w:r>
      <w:r w:rsidR="00842F69" w:rsidRPr="00220CC9">
        <w:rPr>
          <w:sz w:val="20"/>
          <w:szCs w:val="22"/>
        </w:rPr>
        <w:t>ection and pathogenesis [3, 4</w:t>
      </w:r>
      <w:r w:rsidR="00F86675" w:rsidRPr="00220CC9">
        <w:rPr>
          <w:sz w:val="20"/>
          <w:szCs w:val="22"/>
        </w:rPr>
        <w:t xml:space="preserve">]. In a recent study, an outer membrane surface-exposed </w:t>
      </w:r>
      <w:proofErr w:type="spellStart"/>
      <w:r w:rsidR="00F86675" w:rsidRPr="00220CC9">
        <w:rPr>
          <w:sz w:val="20"/>
          <w:szCs w:val="22"/>
        </w:rPr>
        <w:t>ErpY</w:t>
      </w:r>
      <w:proofErr w:type="spellEnd"/>
      <w:r w:rsidR="00F86675" w:rsidRPr="00220CC9">
        <w:rPr>
          <w:sz w:val="20"/>
          <w:szCs w:val="22"/>
        </w:rPr>
        <w:t xml:space="preserve">-like lipoprotein (LIC11966) has been proposed to be expressed exclusively by pathogenic </w:t>
      </w:r>
      <w:proofErr w:type="spellStart"/>
      <w:r w:rsidR="00F86675" w:rsidRPr="00220CC9">
        <w:rPr>
          <w:i/>
          <w:sz w:val="20"/>
          <w:szCs w:val="22"/>
        </w:rPr>
        <w:t>Leptospira</w:t>
      </w:r>
      <w:proofErr w:type="spellEnd"/>
      <w:r w:rsidR="00F86675" w:rsidRPr="00220CC9">
        <w:rPr>
          <w:sz w:val="20"/>
          <w:szCs w:val="22"/>
        </w:rPr>
        <w:t xml:space="preserve"> and helps increase the virulence capacity. Our research group has shown that the </w:t>
      </w:r>
      <w:proofErr w:type="spellStart"/>
      <w:r w:rsidR="00F86675" w:rsidRPr="00220CC9">
        <w:rPr>
          <w:sz w:val="20"/>
          <w:szCs w:val="22"/>
        </w:rPr>
        <w:t>ErpY</w:t>
      </w:r>
      <w:proofErr w:type="spellEnd"/>
      <w:r w:rsidR="00F86675" w:rsidRPr="00220CC9">
        <w:rPr>
          <w:sz w:val="20"/>
          <w:szCs w:val="22"/>
        </w:rPr>
        <w:t xml:space="preserve">-like protein is a </w:t>
      </w:r>
      <w:proofErr w:type="spellStart"/>
      <w:r w:rsidR="00F86675" w:rsidRPr="00220CC9">
        <w:rPr>
          <w:sz w:val="20"/>
          <w:szCs w:val="22"/>
        </w:rPr>
        <w:t>supramolecule</w:t>
      </w:r>
      <w:proofErr w:type="spellEnd"/>
      <w:r w:rsidR="00F86675" w:rsidRPr="00220CC9">
        <w:rPr>
          <w:sz w:val="20"/>
          <w:szCs w:val="22"/>
        </w:rPr>
        <w:t xml:space="preserve"> with moonlighting effect</w:t>
      </w:r>
      <w:r w:rsidR="00842F69" w:rsidRPr="00220CC9">
        <w:rPr>
          <w:sz w:val="20"/>
          <w:szCs w:val="22"/>
        </w:rPr>
        <w:t xml:space="preserve"> [3]</w:t>
      </w:r>
      <w:r w:rsidR="00F86675" w:rsidRPr="00220CC9">
        <w:rPr>
          <w:sz w:val="20"/>
          <w:szCs w:val="22"/>
        </w:rPr>
        <w:t xml:space="preserve">. </w:t>
      </w:r>
      <w:proofErr w:type="spellStart"/>
      <w:r w:rsidR="00F86675" w:rsidRPr="00220CC9">
        <w:rPr>
          <w:sz w:val="20"/>
          <w:szCs w:val="22"/>
        </w:rPr>
        <w:t>ErpY</w:t>
      </w:r>
      <w:proofErr w:type="spellEnd"/>
      <w:r w:rsidR="00F86675" w:rsidRPr="00220CC9">
        <w:rPr>
          <w:sz w:val="20"/>
          <w:szCs w:val="22"/>
        </w:rPr>
        <w:t xml:space="preserve">-like protein </w:t>
      </w:r>
      <w:r w:rsidR="00696CA5" w:rsidRPr="00220CC9">
        <w:rPr>
          <w:sz w:val="20"/>
          <w:szCs w:val="22"/>
        </w:rPr>
        <w:t xml:space="preserve">contributes to the bacterium's virulence by binding to different extracellular matrix components in mammalian hosts. The protein's interaction with complement regulators </w:t>
      </w:r>
      <w:r w:rsidR="00446E32" w:rsidRPr="00220CC9">
        <w:rPr>
          <w:sz w:val="20"/>
          <w:szCs w:val="22"/>
        </w:rPr>
        <w:t>factor H (</w:t>
      </w:r>
      <w:r w:rsidR="00696CA5" w:rsidRPr="00220CC9">
        <w:rPr>
          <w:sz w:val="20"/>
          <w:szCs w:val="22"/>
        </w:rPr>
        <w:t>FH</w:t>
      </w:r>
      <w:r w:rsidR="00446E32" w:rsidRPr="00220CC9">
        <w:rPr>
          <w:sz w:val="20"/>
          <w:szCs w:val="22"/>
        </w:rPr>
        <w:t xml:space="preserve">) </w:t>
      </w:r>
      <w:r w:rsidR="00696CA5" w:rsidRPr="00220CC9">
        <w:rPr>
          <w:sz w:val="20"/>
          <w:szCs w:val="22"/>
        </w:rPr>
        <w:t xml:space="preserve">and </w:t>
      </w:r>
      <w:r w:rsidR="00446E32" w:rsidRPr="00220CC9">
        <w:rPr>
          <w:sz w:val="20"/>
          <w:szCs w:val="22"/>
        </w:rPr>
        <w:t>factor I (</w:t>
      </w:r>
      <w:r w:rsidR="00696CA5" w:rsidRPr="00220CC9">
        <w:rPr>
          <w:sz w:val="20"/>
          <w:szCs w:val="22"/>
        </w:rPr>
        <w:t>FI</w:t>
      </w:r>
      <w:r w:rsidR="00446E32" w:rsidRPr="00220CC9">
        <w:rPr>
          <w:sz w:val="20"/>
          <w:szCs w:val="22"/>
        </w:rPr>
        <w:t>)</w:t>
      </w:r>
      <w:r w:rsidR="00696CA5" w:rsidRPr="00220CC9">
        <w:rPr>
          <w:sz w:val="20"/>
          <w:szCs w:val="22"/>
        </w:rPr>
        <w:t xml:space="preserve"> enables </w:t>
      </w:r>
      <w:proofErr w:type="spellStart"/>
      <w:r w:rsidR="00696CA5" w:rsidRPr="00220CC9">
        <w:rPr>
          <w:i/>
          <w:sz w:val="20"/>
          <w:szCs w:val="22"/>
        </w:rPr>
        <w:t>Leptospira</w:t>
      </w:r>
      <w:proofErr w:type="spellEnd"/>
      <w:r w:rsidR="00696CA5" w:rsidRPr="00220CC9">
        <w:rPr>
          <w:sz w:val="20"/>
          <w:szCs w:val="22"/>
        </w:rPr>
        <w:t xml:space="preserve"> to evade the host complement system, further enhancing its pathogenicity</w:t>
      </w:r>
      <w:r w:rsidR="00842F69" w:rsidRPr="00220CC9">
        <w:rPr>
          <w:sz w:val="20"/>
          <w:szCs w:val="22"/>
        </w:rPr>
        <w:t xml:space="preserve"> [3,4]</w:t>
      </w:r>
      <w:r w:rsidR="00696CA5" w:rsidRPr="00220CC9">
        <w:rPr>
          <w:sz w:val="20"/>
          <w:szCs w:val="22"/>
        </w:rPr>
        <w:t xml:space="preserve">. </w:t>
      </w:r>
      <w:r w:rsidR="003920AD" w:rsidRPr="00220CC9">
        <w:rPr>
          <w:sz w:val="20"/>
          <w:szCs w:val="22"/>
        </w:rPr>
        <w:t xml:space="preserve">Here we </w:t>
      </w:r>
      <w:r w:rsidR="00696CA5" w:rsidRPr="00220CC9">
        <w:rPr>
          <w:sz w:val="20"/>
          <w:szCs w:val="22"/>
        </w:rPr>
        <w:t xml:space="preserve">show that the recombinant form of this protein inhibits the clotting of platelet-poor citrated bovine plasma in a concentration-dependent manner. In fact, adding 2 µM of </w:t>
      </w:r>
      <w:proofErr w:type="spellStart"/>
      <w:r w:rsidR="00696CA5" w:rsidRPr="00220CC9">
        <w:rPr>
          <w:sz w:val="20"/>
          <w:szCs w:val="22"/>
        </w:rPr>
        <w:t>rErpY</w:t>
      </w:r>
      <w:proofErr w:type="spellEnd"/>
      <w:r w:rsidR="00696CA5" w:rsidRPr="00220CC9">
        <w:rPr>
          <w:sz w:val="20"/>
          <w:szCs w:val="22"/>
        </w:rPr>
        <w:t>-like protein to 20% diluted bovine plasma complet</w:t>
      </w:r>
      <w:r w:rsidR="003920AD" w:rsidRPr="00220CC9">
        <w:rPr>
          <w:sz w:val="20"/>
          <w:szCs w:val="22"/>
        </w:rPr>
        <w:t xml:space="preserve">ely halts the clotting process. </w:t>
      </w:r>
      <w:r w:rsidR="00696CA5" w:rsidRPr="00220CC9">
        <w:rPr>
          <w:sz w:val="20"/>
          <w:szCs w:val="22"/>
        </w:rPr>
        <w:t xml:space="preserve">Furthermore, </w:t>
      </w:r>
      <w:proofErr w:type="spellStart"/>
      <w:r w:rsidR="00696CA5" w:rsidRPr="00220CC9">
        <w:rPr>
          <w:sz w:val="20"/>
          <w:szCs w:val="22"/>
        </w:rPr>
        <w:t>rErpY</w:t>
      </w:r>
      <w:proofErr w:type="spellEnd"/>
      <w:r w:rsidR="00696CA5" w:rsidRPr="00220CC9">
        <w:rPr>
          <w:sz w:val="20"/>
          <w:szCs w:val="22"/>
        </w:rPr>
        <w:t xml:space="preserve">-like protein at a concentration of 2 µM reduces fibrin clot formation in diluted bovine plasma by approximately 95%. </w:t>
      </w:r>
      <w:r w:rsidR="00842F69" w:rsidRPr="00220CC9">
        <w:rPr>
          <w:sz w:val="20"/>
          <w:szCs w:val="22"/>
        </w:rPr>
        <w:t xml:space="preserve">The recombinant </w:t>
      </w:r>
      <w:proofErr w:type="spellStart"/>
      <w:r w:rsidR="00842F69" w:rsidRPr="00220CC9">
        <w:rPr>
          <w:sz w:val="20"/>
          <w:szCs w:val="22"/>
        </w:rPr>
        <w:t>ErpY</w:t>
      </w:r>
      <w:proofErr w:type="spellEnd"/>
      <w:r w:rsidR="00842F69" w:rsidRPr="00220CC9">
        <w:rPr>
          <w:sz w:val="20"/>
          <w:szCs w:val="22"/>
        </w:rPr>
        <w:t xml:space="preserve">-like protein is capable of prolonging the clotting time of bovine plasma by more than 1.5-fold, by </w:t>
      </w:r>
      <w:proofErr w:type="gramStart"/>
      <w:r w:rsidR="00842F69" w:rsidRPr="00220CC9">
        <w:rPr>
          <w:sz w:val="20"/>
          <w:szCs w:val="22"/>
        </w:rPr>
        <w:t>targeting  both</w:t>
      </w:r>
      <w:proofErr w:type="gramEnd"/>
      <w:r w:rsidR="00842F69" w:rsidRPr="00220CC9">
        <w:rPr>
          <w:sz w:val="20"/>
          <w:szCs w:val="22"/>
        </w:rPr>
        <w:t xml:space="preserve"> the extrinsic and common pathways of coagulation. </w:t>
      </w:r>
      <w:r w:rsidR="00696CA5" w:rsidRPr="00220CC9">
        <w:rPr>
          <w:sz w:val="20"/>
          <w:szCs w:val="22"/>
        </w:rPr>
        <w:t xml:space="preserve">These findings demonstrate the multifaceted function of </w:t>
      </w:r>
      <w:proofErr w:type="spellStart"/>
      <w:r w:rsidR="00696CA5" w:rsidRPr="00220CC9">
        <w:rPr>
          <w:sz w:val="20"/>
          <w:szCs w:val="22"/>
        </w:rPr>
        <w:t>ErpY</w:t>
      </w:r>
      <w:proofErr w:type="spellEnd"/>
      <w:r w:rsidR="00696CA5" w:rsidRPr="00220CC9">
        <w:rPr>
          <w:sz w:val="20"/>
          <w:szCs w:val="22"/>
        </w:rPr>
        <w:t xml:space="preserve">-like lipoprotein in </w:t>
      </w:r>
      <w:proofErr w:type="spellStart"/>
      <w:r w:rsidR="00696CA5" w:rsidRPr="00220CC9">
        <w:rPr>
          <w:sz w:val="20"/>
          <w:szCs w:val="22"/>
        </w:rPr>
        <w:t>leptospiral</w:t>
      </w:r>
      <w:proofErr w:type="spellEnd"/>
      <w:r w:rsidR="00696CA5" w:rsidRPr="00220CC9">
        <w:rPr>
          <w:sz w:val="20"/>
          <w:szCs w:val="22"/>
        </w:rPr>
        <w:t xml:space="preserve"> infection, including its ability to impact coagulation rates in host organisms.</w:t>
      </w:r>
    </w:p>
    <w:p w14:paraId="27D6753C" w14:textId="5BBA6329" w:rsidR="000F425D" w:rsidRPr="000F425D" w:rsidRDefault="000F425D" w:rsidP="000F425D">
      <w:pPr>
        <w:spacing w:line="360" w:lineRule="auto"/>
        <w:jc w:val="both"/>
        <w:rPr>
          <w:sz w:val="20"/>
          <w:szCs w:val="22"/>
        </w:rPr>
      </w:pPr>
      <w:r w:rsidRPr="000F425D">
        <w:rPr>
          <w:b/>
          <w:sz w:val="20"/>
          <w:szCs w:val="22"/>
        </w:rPr>
        <w:t xml:space="preserve">Keywords: </w:t>
      </w:r>
      <w:proofErr w:type="spellStart"/>
      <w:r w:rsidRPr="00220CC9">
        <w:rPr>
          <w:i/>
          <w:sz w:val="20"/>
          <w:szCs w:val="22"/>
        </w:rPr>
        <w:t>Leptospira</w:t>
      </w:r>
      <w:proofErr w:type="spellEnd"/>
      <w:r>
        <w:rPr>
          <w:sz w:val="20"/>
          <w:szCs w:val="22"/>
        </w:rPr>
        <w:t xml:space="preserve">, Host-pathogen interaction, </w:t>
      </w:r>
      <w:proofErr w:type="spellStart"/>
      <w:r>
        <w:rPr>
          <w:sz w:val="20"/>
          <w:szCs w:val="22"/>
        </w:rPr>
        <w:t>ErpY</w:t>
      </w:r>
      <w:proofErr w:type="spellEnd"/>
      <w:r>
        <w:rPr>
          <w:sz w:val="20"/>
          <w:szCs w:val="22"/>
        </w:rPr>
        <w:t>-like protein, anti-coagulation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CC01F1" w14:paraId="25758D66" w14:textId="77777777" w:rsidTr="00CC01F1">
        <w:tc>
          <w:tcPr>
            <w:tcW w:w="10756" w:type="dxa"/>
          </w:tcPr>
          <w:p w14:paraId="5D71EE37" w14:textId="4673B944" w:rsidR="00CC01F1" w:rsidRDefault="00CC01F1" w:rsidP="00CC01F1">
            <w:pPr>
              <w:keepNext/>
              <w:spacing w:line="360" w:lineRule="auto"/>
              <w:jc w:val="both"/>
            </w:pPr>
            <w:r>
              <w:rPr>
                <w:noProof/>
                <w:sz w:val="22"/>
                <w:szCs w:val="22"/>
              </w:rPr>
              <w:t xml:space="preserve">   </w:t>
            </w:r>
            <w:r w:rsidR="000F425D">
              <w:rPr>
                <w:noProof/>
                <w:sz w:val="22"/>
                <w:szCs w:val="22"/>
              </w:rPr>
              <w:t xml:space="preserve">  </w:t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552755ED" wp14:editId="3F5D488A">
                  <wp:extent cx="6301740" cy="32589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2421" cy="3264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60C516" w14:textId="7220D543" w:rsidR="00CC01F1" w:rsidRDefault="00CC01F1" w:rsidP="00CC01F1">
            <w:pPr>
              <w:pStyle w:val="Caption"/>
              <w:jc w:val="both"/>
              <w:rPr>
                <w:sz w:val="22"/>
                <w:szCs w:val="22"/>
              </w:rPr>
            </w:pPr>
            <w:r w:rsidRPr="00CC01F1">
              <w:rPr>
                <w:color w:val="000000" w:themeColor="text1"/>
              </w:rPr>
              <w:t xml:space="preserve">Figure </w:t>
            </w:r>
            <w:r w:rsidRPr="00CC01F1">
              <w:rPr>
                <w:color w:val="000000" w:themeColor="text1"/>
              </w:rPr>
              <w:fldChar w:fldCharType="begin"/>
            </w:r>
            <w:r w:rsidRPr="00CC01F1">
              <w:rPr>
                <w:color w:val="000000" w:themeColor="text1"/>
              </w:rPr>
              <w:instrText xml:space="preserve"> SEQ Figure \* ARABIC </w:instrText>
            </w:r>
            <w:r w:rsidRPr="00CC01F1">
              <w:rPr>
                <w:color w:val="000000" w:themeColor="text1"/>
              </w:rPr>
              <w:fldChar w:fldCharType="separate"/>
            </w:r>
            <w:r w:rsidRPr="00CC01F1">
              <w:rPr>
                <w:noProof/>
                <w:color w:val="000000" w:themeColor="text1"/>
              </w:rPr>
              <w:t>1</w:t>
            </w:r>
            <w:r w:rsidRPr="00CC01F1">
              <w:rPr>
                <w:color w:val="000000" w:themeColor="text1"/>
              </w:rPr>
              <w:fldChar w:fldCharType="end"/>
            </w:r>
            <w:r>
              <w:rPr>
                <w:color w:val="000000" w:themeColor="text1"/>
              </w:rPr>
              <w:t xml:space="preserve">. </w:t>
            </w:r>
            <w:r w:rsidRPr="00CC01F1">
              <w:rPr>
                <w:color w:val="000000" w:themeColor="text1"/>
              </w:rPr>
              <w:t xml:space="preserve">The results of a time-dependent absorbance assay investigating the inhibitory effect of the recombinant </w:t>
            </w:r>
            <w:proofErr w:type="spellStart"/>
            <w:r w:rsidRPr="00CC01F1">
              <w:rPr>
                <w:color w:val="000000" w:themeColor="text1"/>
              </w:rPr>
              <w:t>ErpY</w:t>
            </w:r>
            <w:proofErr w:type="spellEnd"/>
            <w:r w:rsidRPr="00CC01F1">
              <w:rPr>
                <w:color w:val="000000" w:themeColor="text1"/>
              </w:rPr>
              <w:t xml:space="preserve">-like protein on bovine plasma coagulation. </w:t>
            </w:r>
            <w:r w:rsidRPr="00CC01F1">
              <w:rPr>
                <w:b w:val="0"/>
                <w:color w:val="000000" w:themeColor="text1"/>
              </w:rPr>
              <w:t xml:space="preserve">Citrated bovine plasma (80 µL) was incubated with increasing concentrations (0.5 – 5 µM) of </w:t>
            </w:r>
            <w:proofErr w:type="spellStart"/>
            <w:r w:rsidRPr="00CC01F1">
              <w:rPr>
                <w:b w:val="0"/>
                <w:color w:val="000000" w:themeColor="text1"/>
              </w:rPr>
              <w:t>rErpY</w:t>
            </w:r>
            <w:proofErr w:type="spellEnd"/>
            <w:r w:rsidRPr="00CC01F1">
              <w:rPr>
                <w:b w:val="0"/>
                <w:color w:val="000000" w:themeColor="text1"/>
              </w:rPr>
              <w:t>-like (</w:t>
            </w:r>
            <w:r w:rsidRPr="00CC01F1">
              <w:rPr>
                <w:color w:val="000000" w:themeColor="text1"/>
              </w:rPr>
              <w:t>A</w:t>
            </w:r>
            <w:r w:rsidRPr="00CC01F1">
              <w:rPr>
                <w:b w:val="0"/>
                <w:color w:val="000000" w:themeColor="text1"/>
              </w:rPr>
              <w:t xml:space="preserve">) or rClpP1 (negative control; </w:t>
            </w:r>
            <w:r w:rsidRPr="00CC01F1">
              <w:rPr>
                <w:color w:val="000000" w:themeColor="text1"/>
              </w:rPr>
              <w:t>B</w:t>
            </w:r>
            <w:r w:rsidRPr="00CC01F1">
              <w:rPr>
                <w:b w:val="0"/>
                <w:color w:val="000000" w:themeColor="text1"/>
              </w:rPr>
              <w:t xml:space="preserve">) for 15 min at 37°C in a microtiter plate. Following incubation, CaCl2 (15 </w:t>
            </w:r>
            <w:proofErr w:type="spellStart"/>
            <w:r w:rsidRPr="00CC01F1">
              <w:rPr>
                <w:b w:val="0"/>
                <w:color w:val="000000" w:themeColor="text1"/>
              </w:rPr>
              <w:t>mM</w:t>
            </w:r>
            <w:proofErr w:type="spellEnd"/>
            <w:r w:rsidRPr="00CC01F1">
              <w:rPr>
                <w:b w:val="0"/>
                <w:color w:val="000000" w:themeColor="text1"/>
              </w:rPr>
              <w:t xml:space="preserve">) was added to the plasma, which was then mixed by pipetting after adjusting the volume to 100 µL with </w:t>
            </w:r>
            <w:proofErr w:type="spellStart"/>
            <w:r w:rsidRPr="00CC01F1">
              <w:rPr>
                <w:b w:val="0"/>
                <w:color w:val="000000" w:themeColor="text1"/>
              </w:rPr>
              <w:t>Tris-HCl</w:t>
            </w:r>
            <w:proofErr w:type="spellEnd"/>
            <w:r w:rsidRPr="00CC01F1">
              <w:rPr>
                <w:b w:val="0"/>
                <w:color w:val="000000" w:themeColor="text1"/>
              </w:rPr>
              <w:t xml:space="preserve"> buffer (pH 8.0). The absorbance at 320 nm was recorded at 37°C over time, and reactions were performed in duplicates, thrice independently. ClpP1 instead of </w:t>
            </w:r>
            <w:proofErr w:type="spellStart"/>
            <w:r w:rsidRPr="00CC01F1">
              <w:rPr>
                <w:b w:val="0"/>
                <w:color w:val="000000" w:themeColor="text1"/>
              </w:rPr>
              <w:t>ErpY</w:t>
            </w:r>
            <w:proofErr w:type="spellEnd"/>
            <w:r w:rsidRPr="00CC01F1">
              <w:rPr>
                <w:b w:val="0"/>
                <w:color w:val="000000" w:themeColor="text1"/>
              </w:rPr>
              <w:t>-like was used as a control.</w:t>
            </w:r>
          </w:p>
        </w:tc>
      </w:tr>
    </w:tbl>
    <w:p w14:paraId="7749AD8B" w14:textId="0EC30E77" w:rsidR="003B0F8B" w:rsidRPr="00220CC9" w:rsidRDefault="00641097" w:rsidP="00842F69">
      <w:pPr>
        <w:jc w:val="both"/>
        <w:rPr>
          <w:sz w:val="20"/>
        </w:rPr>
      </w:pPr>
      <w:bookmarkStart w:id="0" w:name="_GoBack"/>
      <w:bookmarkEnd w:id="0"/>
    </w:p>
    <w:sectPr w:rsidR="003B0F8B" w:rsidRPr="00220CC9" w:rsidSect="00164DE1">
      <w:headerReference w:type="default" r:id="rId9"/>
      <w:pgSz w:w="12240" w:h="15840"/>
      <w:pgMar w:top="432" w:right="850" w:bottom="850" w:left="85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DD906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788FF" w14:textId="77777777" w:rsidR="00641097" w:rsidRDefault="00641097" w:rsidP="00164DE1">
      <w:r>
        <w:separator/>
      </w:r>
    </w:p>
  </w:endnote>
  <w:endnote w:type="continuationSeparator" w:id="0">
    <w:p w14:paraId="476B1CFD" w14:textId="77777777" w:rsidR="00641097" w:rsidRDefault="00641097" w:rsidP="0016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2110F" w14:textId="77777777" w:rsidR="00641097" w:rsidRDefault="00641097" w:rsidP="00164DE1">
      <w:r>
        <w:separator/>
      </w:r>
    </w:p>
  </w:footnote>
  <w:footnote w:type="continuationSeparator" w:id="0">
    <w:p w14:paraId="7C368210" w14:textId="77777777" w:rsidR="00641097" w:rsidRDefault="00641097" w:rsidP="00164D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96D5E" w14:textId="0A3309B7" w:rsidR="00164DE1" w:rsidRDefault="00164DE1" w:rsidP="00164DE1">
    <w:pPr>
      <w:widowControl w:val="0"/>
      <w:autoSpaceDE w:val="0"/>
      <w:autoSpaceDN w:val="0"/>
      <w:adjustRightInd w:val="0"/>
      <w:spacing w:before="11"/>
      <w:ind w:right="2408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f8218fb4379ec0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tTA2MTY3sTQwMTFS0lEKTi0uzszPAykwNKoFAFBhEL8tAAAA"/>
  </w:docVars>
  <w:rsids>
    <w:rsidRoot w:val="00B31569"/>
    <w:rsid w:val="00067A66"/>
    <w:rsid w:val="000F425D"/>
    <w:rsid w:val="00164DE1"/>
    <w:rsid w:val="001C473B"/>
    <w:rsid w:val="001F49A5"/>
    <w:rsid w:val="0021315C"/>
    <w:rsid w:val="00220CC9"/>
    <w:rsid w:val="00250BD9"/>
    <w:rsid w:val="00256D26"/>
    <w:rsid w:val="002B7DBA"/>
    <w:rsid w:val="002E3200"/>
    <w:rsid w:val="00321F10"/>
    <w:rsid w:val="00352025"/>
    <w:rsid w:val="0039020C"/>
    <w:rsid w:val="003920AD"/>
    <w:rsid w:val="003D5E44"/>
    <w:rsid w:val="00446E32"/>
    <w:rsid w:val="00490733"/>
    <w:rsid w:val="00495F19"/>
    <w:rsid w:val="004B0AD5"/>
    <w:rsid w:val="004B459A"/>
    <w:rsid w:val="004C346B"/>
    <w:rsid w:val="005732E6"/>
    <w:rsid w:val="00600AA6"/>
    <w:rsid w:val="00624A77"/>
    <w:rsid w:val="00641097"/>
    <w:rsid w:val="00680619"/>
    <w:rsid w:val="00696CA5"/>
    <w:rsid w:val="006F6330"/>
    <w:rsid w:val="00767B63"/>
    <w:rsid w:val="007740D7"/>
    <w:rsid w:val="00780F67"/>
    <w:rsid w:val="007C6493"/>
    <w:rsid w:val="007E4206"/>
    <w:rsid w:val="00801AB5"/>
    <w:rsid w:val="00842F69"/>
    <w:rsid w:val="008E3028"/>
    <w:rsid w:val="00912006"/>
    <w:rsid w:val="009360D2"/>
    <w:rsid w:val="009773E4"/>
    <w:rsid w:val="009C3947"/>
    <w:rsid w:val="00A318B3"/>
    <w:rsid w:val="00A51183"/>
    <w:rsid w:val="00A75A05"/>
    <w:rsid w:val="00A91784"/>
    <w:rsid w:val="00B23658"/>
    <w:rsid w:val="00B31569"/>
    <w:rsid w:val="00B460F2"/>
    <w:rsid w:val="00B74712"/>
    <w:rsid w:val="00CC01F1"/>
    <w:rsid w:val="00D74AD0"/>
    <w:rsid w:val="00D953F7"/>
    <w:rsid w:val="00DB71A8"/>
    <w:rsid w:val="00E05C05"/>
    <w:rsid w:val="00E32532"/>
    <w:rsid w:val="00E532BD"/>
    <w:rsid w:val="00EA3A23"/>
    <w:rsid w:val="00EB309D"/>
    <w:rsid w:val="00F34928"/>
    <w:rsid w:val="00F86675"/>
    <w:rsid w:val="00FB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B4D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5C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15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7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E4"/>
    <w:rPr>
      <w:rFonts w:ascii="Times New Roman" w:eastAsia="Times New Roman" w:hAnsi="Times New Roman" w:cs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E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E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3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E4"/>
    <w:rPr>
      <w:rFonts w:ascii="Segoe UI" w:eastAsia="Times New Roman" w:hAnsi="Segoe UI" w:cs="Segoe UI"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4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DE1"/>
    <w:rPr>
      <w:rFonts w:ascii="Times New Roman" w:eastAsia="Times New Roman" w:hAnsi="Times New Roman" w:cs="Times New Roman"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D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DE1"/>
    <w:rPr>
      <w:rFonts w:ascii="Times New Roman" w:eastAsia="Times New Roman" w:hAnsi="Times New Roman" w:cs="Times New Roman"/>
      <w:bCs/>
      <w:sz w:val="24"/>
      <w:szCs w:val="24"/>
    </w:rPr>
  </w:style>
  <w:style w:type="table" w:styleId="TableGrid">
    <w:name w:val="Table Grid"/>
    <w:basedOn w:val="TableNormal"/>
    <w:uiPriority w:val="59"/>
    <w:rsid w:val="00CC0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01F1"/>
    <w:pPr>
      <w:spacing w:after="200"/>
    </w:pPr>
    <w:rPr>
      <w:b/>
      <w:bCs w:val="0"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5C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15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7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E4"/>
    <w:rPr>
      <w:rFonts w:ascii="Times New Roman" w:eastAsia="Times New Roman" w:hAnsi="Times New Roman" w:cs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E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E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3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E4"/>
    <w:rPr>
      <w:rFonts w:ascii="Segoe UI" w:eastAsia="Times New Roman" w:hAnsi="Segoe UI" w:cs="Segoe UI"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4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DE1"/>
    <w:rPr>
      <w:rFonts w:ascii="Times New Roman" w:eastAsia="Times New Roman" w:hAnsi="Times New Roman" w:cs="Times New Roman"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D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DE1"/>
    <w:rPr>
      <w:rFonts w:ascii="Times New Roman" w:eastAsia="Times New Roman" w:hAnsi="Times New Roman" w:cs="Times New Roman"/>
      <w:bCs/>
      <w:sz w:val="24"/>
      <w:szCs w:val="24"/>
    </w:rPr>
  </w:style>
  <w:style w:type="table" w:styleId="TableGrid">
    <w:name w:val="Table Grid"/>
    <w:basedOn w:val="TableNormal"/>
    <w:uiPriority w:val="59"/>
    <w:rsid w:val="00CC0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01F1"/>
    <w:pPr>
      <w:spacing w:after="200"/>
    </w:pPr>
    <w:rPr>
      <w:b/>
      <w:bCs w:val="0"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saswat.hota@iitg.ac.in" TargetMode="External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hota</dc:creator>
  <cp:keywords/>
  <dc:description/>
  <cp:lastModifiedBy>saswat hota</cp:lastModifiedBy>
  <cp:revision>31</cp:revision>
  <dcterms:created xsi:type="dcterms:W3CDTF">2022-11-11T03:05:00Z</dcterms:created>
  <dcterms:modified xsi:type="dcterms:W3CDTF">2023-04-25T06:56:00Z</dcterms:modified>
</cp:coreProperties>
</file>