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pBdr/>
        <w:tabs>
          <w:tab w:val="clear" w:pos="720"/>
          <w:tab w:val="left" w:pos="1080" w:leader="none"/>
          <w:tab w:val="left" w:pos="2775" w:leader="none"/>
          <w:tab w:val="left" w:pos="4605" w:leader="none"/>
          <w:tab w:val="left" w:pos="5925" w:leader="none"/>
          <w:tab w:val="left" w:pos="6585" w:leader="none"/>
          <w:tab w:val="left" w:pos="7365" w:leader="none"/>
        </w:tabs>
        <w:bidi w:val="0"/>
        <w:spacing w:lineRule="auto" w:line="240" w:before="0" w:after="113"/>
        <w:ind w:left="0" w:right="0" w:hanging="0"/>
        <w:jc w:val="center"/>
        <w:rPr>
          <w:sz w:val="28"/>
          <w:szCs w:val="28"/>
        </w:rPr>
      </w:pPr>
      <w:r>
        <w:drawing>
          <wp:anchor behindDoc="0" distT="0" distB="0" distL="114935" distR="114935" simplePos="0" locked="0" layoutInCell="1" allowOverlap="1" relativeHeight="2">
            <wp:simplePos x="0" y="0"/>
            <wp:positionH relativeFrom="page">
              <wp:posOffset>3862070</wp:posOffset>
            </wp:positionH>
            <wp:positionV relativeFrom="page">
              <wp:posOffset>5163185</wp:posOffset>
            </wp:positionV>
            <wp:extent cx="2160270" cy="1692275"/>
            <wp:effectExtent l="0" t="0" r="0" b="0"/>
            <wp:wrapTopAndBottom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4" t="-1243" r="7201" b="-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1692275"/>
                    </a:xfrm>
                    <a:prstGeom prst="rect">
                      <a:avLst/>
                    </a:prstGeom>
                    <a:ln w="381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  <w:drawing>
          <wp:anchor behindDoc="0" distT="0" distB="0" distL="36195" distR="114935" simplePos="0" locked="0" layoutInCell="1" allowOverlap="1" relativeHeight="3">
            <wp:simplePos x="0" y="0"/>
            <wp:positionH relativeFrom="page">
              <wp:posOffset>1159510</wp:posOffset>
            </wp:positionH>
            <wp:positionV relativeFrom="page">
              <wp:posOffset>5158105</wp:posOffset>
            </wp:positionV>
            <wp:extent cx="2303780" cy="169227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56" t="-4504" r="-156" b="-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169227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 xml:space="preserve">Molecular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D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ynamic studies o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 xml:space="preserve"> ZrO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vertAlign w:val="subscript"/>
          <w:lang w:val="en-US"/>
        </w:rPr>
        <w:t xml:space="preserve">2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 xml:space="preserve"> based SOFC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M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>aterials</w:t>
      </w:r>
    </w:p>
    <w:p>
      <w:pPr>
        <w:pStyle w:val="Normal"/>
        <w:widowControl/>
        <w:pBdr/>
        <w:tabs>
          <w:tab w:val="clear" w:pos="720"/>
          <w:tab w:val="left" w:pos="1080" w:leader="none"/>
          <w:tab w:val="left" w:pos="2775" w:leader="none"/>
          <w:tab w:val="left" w:pos="4605" w:leader="none"/>
          <w:tab w:val="left" w:pos="5925" w:leader="none"/>
          <w:tab w:val="left" w:pos="6585" w:leader="none"/>
          <w:tab w:val="left" w:pos="7365" w:leader="none"/>
        </w:tabs>
        <w:bidi w:val="0"/>
        <w:spacing w:lineRule="auto" w:line="240" w:before="0" w:after="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Sudeshna Madhual,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vertAlign w:val="superscript"/>
          <w:lang w:val="en-US"/>
        </w:rPr>
        <w:t>1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 xml:space="preserve"> Krishnanjan Pramanik,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vertAlign w:val="superscript"/>
          <w:lang w:val="en-US"/>
        </w:rPr>
        <w:t>2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 xml:space="preserve"> Padma K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>umar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n-US"/>
        </w:rPr>
        <w:t xml:space="preserve"> Padmanabhan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vertAlign w:val="superscript"/>
          <w:lang w:val="en-US"/>
        </w:rPr>
        <w:t>3</w:t>
      </w:r>
    </w:p>
    <w:p>
      <w:pPr>
        <w:pStyle w:val="Normal"/>
        <w:widowControl/>
        <w:pBdr/>
        <w:tabs>
          <w:tab w:val="clear" w:pos="720"/>
          <w:tab w:val="left" w:pos="1080" w:leader="none"/>
          <w:tab w:val="left" w:pos="2775" w:leader="none"/>
          <w:tab w:val="left" w:pos="4605" w:leader="none"/>
          <w:tab w:val="left" w:pos="5925" w:leader="none"/>
          <w:tab w:val="left" w:pos="6585" w:leader="none"/>
          <w:tab w:val="left" w:pos="7365" w:leader="none"/>
        </w:tabs>
        <w:bidi w:val="0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sz w:val="24"/>
          <w:szCs w:val="24"/>
          <w:vertAlign w:val="superscript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vertAlign w:val="superscript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Dept. Of Physics, IIT Guwahati, Guwahati, India</w:t>
      </w:r>
    </w:p>
    <w:p>
      <w:pPr>
        <w:pStyle w:val="Normal"/>
        <w:spacing w:lineRule="auto" w:line="240" w:before="0" w:after="170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padmakumarp@iitg.ac.in</w:t>
      </w:r>
    </w:p>
    <w:p>
      <w:pPr>
        <w:pStyle w:val="Normal"/>
        <w:spacing w:lineRule="auto" w:line="240" w:before="0" w:after="170"/>
        <w:jc w:val="center"/>
        <w:rPr>
          <w:rFonts w:ascii="Times New Roman" w:hAnsi="Times New Roman" w:eastAsia="Times New Roman" w:cs="Times New Roman"/>
          <w:b/>
          <w:b/>
          <w:bCs/>
          <w:sz w:val="22"/>
          <w:szCs w:val="22"/>
          <w:u w:val="single"/>
          <w:lang w:val="en-US"/>
        </w:rPr>
      </w:pPr>
      <w:r>
        <w:rPr>
          <w:rFonts w:eastAsia="Times New Roman" w:cs="Times New Roman" w:ascii="Times New Roman" w:hAnsi="Times New Roman"/>
          <w:b/>
          <w:bCs/>
          <w:sz w:val="22"/>
          <w:szCs w:val="22"/>
          <w:u w:val="single"/>
          <w:lang w:val="en-US"/>
        </w:rPr>
        <w:t>ABSTRACT</w:t>
      </w:r>
    </w:p>
    <w:p>
      <w:pPr>
        <w:pStyle w:val="Normal"/>
        <w:spacing w:before="0" w:after="0"/>
        <w:ind w:left="0" w:right="0" w:hanging="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For efficient performance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of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SOFCs,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zirconia doped with various rare earth dopants like Y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  <w:lang w:val="en-US"/>
        </w:rPr>
        <w:t>3+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,Gd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  <w:lang w:val="en-US"/>
        </w:rPr>
        <w:t>3+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, Sm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  <w:lang w:val="en-US"/>
        </w:rPr>
        <w:t>3+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, Yb</w:t>
      </w:r>
      <w:r>
        <w:rPr>
          <w:rFonts w:eastAsia="Times New Roman" w:cs="Times New Roman" w:ascii="Times New Roman" w:hAnsi="Times New Roman"/>
          <w:sz w:val="24"/>
          <w:szCs w:val="24"/>
          <w:vertAlign w:val="superscript"/>
          <w:lang w:val="en-US"/>
        </w:rPr>
        <w:t>3+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are considered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as a standard electrolyte material, to fulfill the requirement of oxygen ion conduction,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where YSZ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is the most promising electrolyte for SOFC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at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an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operating temperature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around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1300K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. Here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YSZ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is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investigated by molecular dynamics simulation in a temperature range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over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800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K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–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22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00K and concentration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range over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4- 40% to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probe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 the role of oxide ion conduction at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the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microscopic level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. The self-diffusion constant (D) (related to ionic conductivity) increases with dopant concentration and is found to reach the maximum value at x=10%. Also, along with temperature, the ionic conductivity increases and gives a higher value at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2200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K.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en-US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en-US"/>
        </w:rPr>
        <w:t>T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en-US"/>
        </w:rPr>
        <w:t xml:space="preserve">he oxygen migration occurs along straight channels parallel to the crystallographic axes, connecting the tetrahedral holes of the fluorite lattice occupied by them. Analysis of  oxygen environments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en-US"/>
        </w:rPr>
        <w:t>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en-US"/>
        </w:rPr>
        <w:t>coordinated to Y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4"/>
          <w:szCs w:val="24"/>
          <w:vertAlign w:val="superscript"/>
          <w:lang w:val="en-US"/>
        </w:rPr>
        <w:t xml:space="preserve"> 3+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en-US"/>
        </w:rPr>
        <w:t xml:space="preserve">and  Zr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4"/>
          <w:szCs w:val="24"/>
          <w:vertAlign w:val="superscript"/>
          <w:lang w:val="en-US"/>
        </w:rPr>
        <w:t>4+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en-US"/>
        </w:rPr>
        <w:t xml:space="preserve"> cations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en-US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en-US"/>
        </w:rPr>
        <w:t xml:space="preserve"> and  the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en-US"/>
        </w:rPr>
        <w:t xml:space="preserve">energetics of the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en-US"/>
        </w:rPr>
        <w:t xml:space="preserve">channels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en-US"/>
        </w:rPr>
        <w:t xml:space="preserve">connecting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en-US"/>
        </w:rPr>
        <w:t>the tetrahedra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en-US"/>
        </w:rPr>
        <w:t>l holes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en-US"/>
        </w:rPr>
        <w:t xml:space="preserve"> and their contribution to overall oxygen transport, resolved in terms of the cationic edges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en-US"/>
        </w:rPr>
        <w:t>bridging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en-US"/>
        </w:rPr>
        <w:t xml:space="preserve"> them, provides fresh insights on the oxygen migration mechanism in th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en-US"/>
        </w:rPr>
        <w:t>is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en-US"/>
        </w:rPr>
        <w:t xml:space="preserve"> system.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4"/>
          <w:szCs w:val="24"/>
          <w:vertAlign w:val="superscript"/>
          <w:lang w:val="en-US"/>
        </w:rPr>
        <w:t>[1,2]</w:t>
      </w:r>
    </w:p>
    <w:p>
      <w:pPr>
        <w:pStyle w:val="Normal"/>
        <w:spacing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z w:val="24"/>
          <w:szCs w:val="24"/>
          <w:lang w:val="en-US"/>
        </w:rPr>
      </w:r>
    </w:p>
    <w:p>
      <w:pPr>
        <w:pStyle w:val="Normal"/>
        <w:spacing w:before="0" w:after="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before="0" w:after="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Fig. </w:t>
      </w:r>
      <w:r>
        <w:rPr>
          <w:i/>
          <w:iCs/>
          <w:sz w:val="21"/>
          <w:szCs w:val="21"/>
        </w:rPr>
        <w:t>(Left):</w:t>
      </w:r>
      <w:r>
        <w:rPr>
          <w:sz w:val="20"/>
          <w:szCs w:val="20"/>
        </w:rPr>
        <w:t xml:space="preserve"> </w:t>
      </w:r>
      <w:r>
        <w:rPr>
          <w:b w:val="false"/>
          <w:i w:val="false"/>
          <w:sz w:val="20"/>
          <w:szCs w:val="20"/>
        </w:rPr>
        <w:t>Spacial distribution of oxygens over two unit cells are shown for a few iso-density values (increasing from yellow to red) in the fluorite structured YSZ</w:t>
      </w:r>
      <w:r>
        <w:rPr>
          <w:sz w:val="20"/>
          <w:szCs w:val="20"/>
        </w:rPr>
        <w:t>, (for x =</w:t>
      </w:r>
      <w:r>
        <w:rPr>
          <w:b w:val="false"/>
          <w:i w:val="false"/>
          <w:sz w:val="20"/>
          <w:szCs w:val="20"/>
        </w:rPr>
        <w:t xml:space="preserve">24 mol% from present MD simulations at 1300 K). The split-balls in blue/green colors indicate the cation sites, which </w:t>
      </w:r>
      <w:r>
        <w:rPr>
          <w:b w:val="false"/>
          <w:i w:val="false"/>
          <w:sz w:val="20"/>
          <w:szCs w:val="20"/>
        </w:rPr>
        <w:t>m</w:t>
      </w:r>
      <w:r>
        <w:rPr>
          <w:b w:val="false"/>
          <w:i w:val="false"/>
          <w:sz w:val="20"/>
          <w:szCs w:val="20"/>
        </w:rPr>
        <w:t>ay be occupied by the Zr</w:t>
      </w:r>
      <w:r>
        <w:rPr>
          <w:position w:val="6"/>
          <w:sz w:val="20"/>
          <w:szCs w:val="20"/>
        </w:rPr>
        <w:t>4+</w:t>
      </w:r>
      <w:r>
        <w:rPr>
          <w:sz w:val="20"/>
          <w:szCs w:val="20"/>
        </w:rPr>
        <w:t xml:space="preserve"> or Y </w:t>
      </w:r>
      <w:r>
        <w:rPr>
          <w:position w:val="6"/>
          <w:sz w:val="20"/>
          <w:szCs w:val="20"/>
        </w:rPr>
        <w:t>3+</w:t>
      </w:r>
      <w:r>
        <w:rPr>
          <w:sz w:val="20"/>
          <w:szCs w:val="20"/>
        </w:rPr>
        <w:t xml:space="preserve"> ions.</w:t>
      </w:r>
      <w:r>
        <w:rPr>
          <w:i/>
          <w:iCs/>
          <w:sz w:val="20"/>
          <w:szCs w:val="20"/>
        </w:rPr>
        <w:t xml:space="preserve"> </w:t>
      </w:r>
    </w:p>
    <w:p>
      <w:pPr>
        <w:pStyle w:val="Normal"/>
        <w:spacing w:before="0" w:after="0"/>
        <w:ind w:left="0" w:right="0" w:hanging="0"/>
        <w:jc w:val="both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Fig. </w:t>
      </w:r>
      <w:r>
        <w:rPr>
          <w:i/>
          <w:iCs/>
          <w:sz w:val="21"/>
          <w:szCs w:val="21"/>
        </w:rPr>
        <w:t>(Right) :</w:t>
      </w:r>
      <w:r>
        <w:rPr>
          <w:sz w:val="20"/>
          <w:szCs w:val="20"/>
        </w:rPr>
        <w:t xml:space="preserve"> </w:t>
      </w:r>
      <w:r>
        <w:rPr>
          <w:b w:val="false"/>
          <w:i w:val="false"/>
          <w:sz w:val="20"/>
          <w:szCs w:val="20"/>
        </w:rPr>
        <w:t>Oxygen ion self diffusivity (blue) and corresponding ionic self-diffusivity (red) in Yttria Stabilized Zirconia for concentration x, ranging over 4-40 mol %, at 1300 K, 1800K, and 2200K</w:t>
      </w:r>
      <w:r>
        <w:rPr>
          <w:sz w:val="20"/>
          <w:szCs w:val="20"/>
        </w:rPr>
        <w:t>.</w:t>
      </w:r>
    </w:p>
    <w:p>
      <w:pPr>
        <w:pStyle w:val="Normal"/>
        <w:bidi w:val="0"/>
        <w:spacing w:before="0" w:after="0"/>
        <w:ind w:left="0" w:right="0" w:hanging="0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spacing w:before="0" w:after="0"/>
        <w:rPr/>
      </w:pPr>
      <w:r>
        <w:rPr>
          <w:rFonts w:eastAsia="Times New Roman" w:cs="Times New Roman" w:ascii="Times New Roman" w:hAnsi="Times New Roman"/>
          <w:b/>
          <w:bCs/>
          <w:i/>
          <w:iCs/>
          <w:sz w:val="21"/>
          <w:szCs w:val="21"/>
          <w:lang w:val="en-US"/>
        </w:rPr>
        <w:t>Keywords</w:t>
      </w:r>
      <w:r>
        <w:rPr>
          <w:rFonts w:eastAsia="Times New Roman" w:cs="Times New Roman" w:ascii="Times New Roman" w:hAnsi="Times New Roman"/>
          <w:b/>
          <w:bCs/>
          <w:sz w:val="21"/>
          <w:szCs w:val="21"/>
          <w:lang w:val="en-US"/>
        </w:rPr>
        <w:t xml:space="preserve"> :</w:t>
      </w:r>
      <w:r>
        <w:rPr>
          <w:rFonts w:eastAsia="Times New Roman" w:cs="Times New Roman" w:ascii="Times New Roman" w:hAnsi="Times New Roman"/>
          <w:sz w:val="18"/>
          <w:szCs w:val="18"/>
          <w:lang w:val="en-US"/>
        </w:rPr>
        <w:t xml:space="preserve">- </w:t>
      </w:r>
      <w:r>
        <w:rPr>
          <w:rFonts w:eastAsia="Times New Roman" w:cs="Times New Roman" w:ascii="Times New Roman" w:hAnsi="Times New Roman"/>
          <w:sz w:val="22"/>
          <w:szCs w:val="22"/>
          <w:lang w:val="en-US"/>
        </w:rPr>
        <w:t xml:space="preserve"> </w:t>
      </w:r>
      <w:r>
        <w:rPr>
          <w:rFonts w:eastAsia="Times New Roman" w:cs="Times New Roman" w:ascii="Times New Roman" w:hAnsi="Times New Roman"/>
          <w:i/>
          <w:iCs/>
          <w:sz w:val="22"/>
          <w:szCs w:val="22"/>
          <w:lang w:val="en-US"/>
        </w:rPr>
        <w:t xml:space="preserve">Solid Oxide Fuel Cell </w:t>
      </w:r>
      <w:r>
        <w:rPr>
          <w:rFonts w:eastAsia="Times New Roman" w:cs="Times New Roman" w:ascii="Times New Roman" w:hAnsi="Times New Roman"/>
          <w:i/>
          <w:iCs/>
          <w:sz w:val="22"/>
          <w:szCs w:val="22"/>
          <w:lang w:val="en-US"/>
        </w:rPr>
        <w:t>(SOFC)</w:t>
      </w:r>
      <w:r>
        <w:rPr>
          <w:rFonts w:eastAsia="Times New Roman" w:cs="Times New Roman" w:ascii="Times New Roman" w:hAnsi="Times New Roman"/>
          <w:i/>
          <w:iCs/>
          <w:sz w:val="22"/>
          <w:szCs w:val="22"/>
          <w:lang w:val="en-US"/>
        </w:rPr>
        <w:t xml:space="preserve">, </w:t>
      </w:r>
      <w:r>
        <w:rPr>
          <w:rFonts w:eastAsia="Times New Roman" w:cs="Times New Roman" w:ascii="Times New Roman" w:hAnsi="Times New Roman"/>
          <w:i/>
          <w:iCs/>
          <w:sz w:val="22"/>
          <w:szCs w:val="22"/>
          <w:lang w:val="en-US"/>
        </w:rPr>
        <w:t>Yittria Stabilised Zirconia(YSZ),</w:t>
      </w:r>
      <w:r>
        <w:rPr>
          <w:rFonts w:eastAsia="Times New Roman" w:cs="Times New Roman" w:ascii="Times New Roman" w:hAnsi="Times New Roman"/>
          <w:i/>
          <w:iCs/>
          <w:sz w:val="22"/>
          <w:szCs w:val="22"/>
          <w:lang w:val="en-US"/>
        </w:rPr>
        <w:t xml:space="preserve"> Molecular Dynamics</w:t>
      </w:r>
      <w:r>
        <w:rPr>
          <w:rFonts w:eastAsia="Times New Roman" w:cs="Times New Roman" w:ascii="Times New Roman" w:hAnsi="Times New Roman"/>
          <w:i/>
          <w:iCs/>
          <w:sz w:val="22"/>
          <w:szCs w:val="22"/>
          <w:lang w:val="en-US"/>
        </w:rPr>
        <w:t>(MD).</w:t>
      </w:r>
    </w:p>
    <w:p>
      <w:pPr>
        <w:pStyle w:val="Normal"/>
        <w:bidi w:val="0"/>
        <w:spacing w:before="0" w:after="0"/>
        <w:rPr>
          <w:rFonts w:ascii="Times New Roman" w:hAnsi="Times New Roman" w:eastAsia="Times New Roman" w:cs="Times New Roman"/>
          <w:i/>
          <w:i/>
          <w:iCs/>
          <w:sz w:val="22"/>
          <w:szCs w:val="22"/>
          <w:lang w:val="en-US"/>
        </w:rPr>
      </w:pPr>
      <w:r>
        <w:rPr>
          <w:rFonts w:eastAsia="Times New Roman" w:cs="Times New Roman" w:ascii="Times New Roman" w:hAnsi="Times New Roman"/>
          <w:i/>
          <w:iCs/>
          <w:sz w:val="22"/>
          <w:szCs w:val="22"/>
          <w:lang w:val="en-US"/>
        </w:rPr>
      </w:r>
    </w:p>
    <w:p>
      <w:pPr>
        <w:pStyle w:val="Normal"/>
        <w:bidi w:val="0"/>
        <w:spacing w:before="0" w:after="57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1"/>
          <w:szCs w:val="21"/>
          <w:lang w:val="en-US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z w:val="21"/>
          <w:szCs w:val="21"/>
          <w:lang w:val="en-US"/>
        </w:rPr>
        <w:t>References:</w:t>
      </w:r>
    </w:p>
    <w:p>
      <w:pPr>
        <w:pStyle w:val="Normal"/>
        <w:tabs>
          <w:tab w:val="clear" w:pos="720"/>
          <w:tab w:val="left" w:pos="66" w:leader="none"/>
        </w:tabs>
        <w:bidi w:val="0"/>
        <w:spacing w:before="0" w:after="57"/>
        <w:rPr/>
      </w:pP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aps w:val="false"/>
          <w:smallCaps w:val="false"/>
          <w:spacing w:val="0"/>
          <w:sz w:val="18"/>
          <w:szCs w:val="18"/>
          <w:lang w:val="en-US"/>
        </w:rPr>
        <w:t>2</w:t>
      </w: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aps w:val="false"/>
          <w:smallCaps w:val="false"/>
          <w:spacing w:val="0"/>
          <w:sz w:val="18"/>
          <w:szCs w:val="18"/>
          <w:lang w:val="en-US"/>
        </w:rPr>
        <w:t>.</w:t>
      </w:r>
      <w:r>
        <w:rPr>
          <w:rFonts w:eastAsia="Times New Roman" w:cs="Times New Roman" w:ascii="Cabin" w:hAnsi="Cabin"/>
          <w:b w:val="false"/>
          <w:bCs/>
          <w:i w:val="false"/>
          <w:iCs w:val="false"/>
          <w:caps w:val="false"/>
          <w:smallCaps w:val="false"/>
          <w:spacing w:val="0"/>
          <w:sz w:val="18"/>
          <w:szCs w:val="18"/>
          <w:lang w:val="en-US"/>
        </w:rPr>
        <w:t xml:space="preserve"> </w:t>
      </w:r>
      <w:r>
        <w:rPr>
          <w:rFonts w:eastAsia="Calibri" w:cs="Times New Roman" w:ascii="Times New Roman" w:hAnsi="Times New Roman"/>
          <w:b/>
          <w:bCs/>
          <w:i w:val="false"/>
          <w:iCs w:val="false"/>
          <w:caps w:val="false"/>
          <w:smallCaps w:val="false"/>
          <w:spacing w:val="0"/>
          <w:sz w:val="18"/>
          <w:szCs w:val="18"/>
          <w:u w:val="none"/>
          <w:lang w:val="en-IN"/>
        </w:rPr>
        <w:t>Sudeshna madhual,</w:t>
      </w:r>
      <w:r>
        <w:rPr>
          <w:rFonts w:eastAsia="Calibri" w:cs="Times New Roman" w:ascii="Times New Roman" w:hAnsi="Times New Roman"/>
          <w:b w:val="false"/>
          <w:bCs/>
          <w:i w:val="false"/>
          <w:iCs w:val="false"/>
          <w:caps w:val="false"/>
          <w:smallCaps w:val="false"/>
          <w:spacing w:val="0"/>
          <w:sz w:val="18"/>
          <w:szCs w:val="18"/>
          <w:u w:val="none"/>
          <w:lang w:val="en-IN"/>
        </w:rPr>
        <w:t xml:space="preserve"> Krishnanjan Pramanik and P. Padma Kumar “</w:t>
      </w:r>
      <w:r>
        <w:rPr>
          <w:rFonts w:eastAsia="Calibri" w:cs="Times New Roman" w:ascii="Times New Roman" w:hAnsi="Times New Roman"/>
          <w:b w:val="false"/>
          <w:bCs/>
          <w:i/>
          <w:iCs/>
          <w:caps w:val="false"/>
          <w:smallCaps w:val="false"/>
          <w:color w:val="000000"/>
          <w:spacing w:val="0"/>
          <w:sz w:val="18"/>
          <w:szCs w:val="18"/>
          <w:u w:val="none"/>
          <w:lang w:val="en-IN"/>
        </w:rPr>
        <w:t>Understanding Oxide Ion Transport In Yttria Stabilized Zirconia: Fresh Insights from Molecular Dynamics Simulation</w:t>
      </w:r>
      <w:r>
        <w:rPr>
          <w:rFonts w:eastAsia="Calibri" w:cs="Times New Roman" w:ascii="Times New Roman" w:hAnsi="Times New Roman"/>
          <w:b w:val="false"/>
          <w:bCs/>
          <w:i/>
          <w:iCs/>
          <w:caps w:val="false"/>
          <w:smallCaps w:val="false"/>
          <w:color w:val="000000"/>
          <w:spacing w:val="0"/>
          <w:sz w:val="18"/>
          <w:szCs w:val="18"/>
          <w:u w:val="none"/>
          <w:lang w:val="en-IN"/>
        </w:rPr>
        <w:t>s</w:t>
      </w:r>
      <w:r>
        <w:rPr>
          <w:rFonts w:eastAsia="Calibri" w:cs="Times New Roman" w:ascii="Times New Roman" w:hAnsi="Times New Roman"/>
          <w:b w:val="false"/>
          <w:bCs/>
          <w:i w:val="false"/>
          <w:iCs w:val="false"/>
          <w:caps w:val="false"/>
          <w:smallCaps w:val="false"/>
          <w:spacing w:val="0"/>
          <w:sz w:val="18"/>
          <w:szCs w:val="18"/>
          <w:u w:val="none"/>
          <w:lang w:val="en-IN"/>
        </w:rPr>
        <w:t>”</w:t>
      </w:r>
      <w:r>
        <w:rPr>
          <w:rFonts w:eastAsia="Calibri" w:cs="Times New Roman" w:ascii="Times New Roman" w:hAnsi="Times New Roman"/>
          <w:b w:val="false"/>
          <w:bCs/>
          <w:i/>
          <w:iCs w:val="false"/>
          <w:caps w:val="false"/>
          <w:smallCaps w:val="false"/>
          <w:color w:val="4D5156"/>
          <w:spacing w:val="0"/>
          <w:sz w:val="18"/>
          <w:szCs w:val="18"/>
          <w:u w:val="none"/>
          <w:lang w:val="en-IN"/>
        </w:rPr>
        <w:t>Phys. Chem. Chem. Phys</w:t>
      </w:r>
      <w:r>
        <w:rPr>
          <w:rFonts w:eastAsia="Calibri" w:cs="Times New Roman" w:ascii="Times New Roman" w:hAnsi="Times New Roman"/>
          <w:b w:val="false"/>
          <w:bCs/>
          <w:i w:val="false"/>
          <w:iCs w:val="false"/>
          <w:caps w:val="false"/>
          <w:smallCaps w:val="false"/>
          <w:spacing w:val="0"/>
          <w:sz w:val="18"/>
          <w:szCs w:val="18"/>
          <w:u w:val="none"/>
          <w:lang w:val="en-IN"/>
        </w:rPr>
        <w:t>,</w:t>
      </w:r>
      <w:bookmarkStart w:id="0" w:name="top"/>
      <w:bookmarkEnd w:id="0"/>
      <w:r>
        <w:rPr>
          <w:rStyle w:val="StrongEmphasis"/>
          <w:rFonts w:eastAsia="Calibri" w:cs="Times New Roman" w:ascii="Times New Roman" w:hAnsi="Times New Roman"/>
          <w:i w:val="false"/>
          <w:iCs w:val="false"/>
          <w:caps w:val="false"/>
          <w:smallCaps w:val="false"/>
          <w:spacing w:val="0"/>
          <w:sz w:val="18"/>
          <w:szCs w:val="18"/>
          <w:u w:val="none"/>
          <w:lang w:val="en-IN"/>
        </w:rPr>
        <w:t>24</w:t>
      </w:r>
      <w:r>
        <w:rPr>
          <w:rFonts w:eastAsia="Calibri" w:cs="Times New Roman" w:ascii="Times New Roman" w:hAnsi="Times New Roman"/>
          <w:b w:val="false"/>
          <w:bCs/>
          <w:i w:val="false"/>
          <w:iCs w:val="false"/>
          <w:caps w:val="false"/>
          <w:smallCaps w:val="false"/>
          <w:spacing w:val="0"/>
          <w:sz w:val="18"/>
          <w:szCs w:val="18"/>
          <w:u w:val="none"/>
          <w:lang w:val="en-IN"/>
        </w:rPr>
        <w:t>, 18281-18290 (2022)</w:t>
      </w:r>
    </w:p>
    <w:p>
      <w:pPr>
        <w:pStyle w:val="Normal"/>
        <w:bidi w:val="0"/>
        <w:spacing w:before="0" w:after="57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aps w:val="false"/>
          <w:smallCaps w:val="false"/>
          <w:spacing w:val="0"/>
          <w:sz w:val="21"/>
          <w:szCs w:val="21"/>
          <w:lang w:val="en-US"/>
        </w:rPr>
        <w:t>3</w:t>
      </w: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aps w:val="false"/>
          <w:smallCaps w:val="false"/>
          <w:spacing w:val="0"/>
          <w:sz w:val="21"/>
          <w:szCs w:val="21"/>
          <w:lang w:val="en-US"/>
        </w:rPr>
        <w:t>.</w:t>
      </w: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aps w:val="false"/>
          <w:smallCaps w:val="false"/>
          <w:spacing w:val="0"/>
          <w:sz w:val="24"/>
          <w:szCs w:val="24"/>
          <w:lang w:val="en-US"/>
        </w:rPr>
        <w:t xml:space="preserve"> </w:t>
      </w:r>
      <w:r>
        <w:rPr>
          <w:rFonts w:eastAsia="Calibri" w:cs="Times New Roman" w:ascii="Times New Roman" w:hAnsi="Times New Roman"/>
          <w:b/>
          <w:bCs/>
          <w:i w:val="false"/>
          <w:iCs w:val="false"/>
          <w:caps w:val="false"/>
          <w:smallCaps w:val="false"/>
          <w:color w:val="000000"/>
          <w:spacing w:val="0"/>
          <w:sz w:val="18"/>
          <w:szCs w:val="18"/>
          <w:u w:val="none"/>
          <w:lang w:val="en-IN"/>
        </w:rPr>
        <w:t>Sudeshna madhual</w:t>
      </w:r>
      <w:r>
        <w:rPr>
          <w:rFonts w:eastAsia="Calibri" w:cs="Times New Roman" w:ascii="Times New Roman" w:hAnsi="Times New Roman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18"/>
          <w:szCs w:val="18"/>
          <w:u w:val="none"/>
          <w:lang w:val="en-IN"/>
        </w:rPr>
        <w:t xml:space="preserve"> and P. Padma Kumar </w:t>
      </w:r>
      <w:r>
        <w:rPr>
          <w:rFonts w:eastAsia="Calibri" w:cs="Times New Roman" w:ascii="Times New Roman" w:hAnsi="Times New Roman"/>
          <w:b w:val="false"/>
          <w:bCs/>
          <w:i/>
          <w:iCs/>
          <w:caps w:val="false"/>
          <w:smallCaps w:val="false"/>
          <w:color w:val="000000"/>
          <w:spacing w:val="0"/>
          <w:sz w:val="18"/>
          <w:szCs w:val="18"/>
          <w:u w:val="none"/>
          <w:lang w:val="en-IN"/>
        </w:rPr>
        <w:t>“</w:t>
      </w:r>
      <w:r>
        <w:rPr>
          <w:rFonts w:eastAsia="Calibri" w:cs="Times New Roman" w:ascii="Times New Roman" w:hAnsi="Times New Roman"/>
          <w:b w:val="false"/>
          <w:bCs w:val="false"/>
          <w:i/>
          <w:iCs/>
          <w:caps w:val="false"/>
          <w:smallCaps w:val="false"/>
          <w:color w:val="000000"/>
          <w:spacing w:val="0"/>
          <w:sz w:val="18"/>
          <w:szCs w:val="18"/>
          <w:u w:val="none"/>
          <w:lang w:val="en-IN"/>
        </w:rPr>
        <w:t>Insights on Oxide Ion Transport In Yttria Doped Ceria from Molecular Dynamics Simulation</w:t>
      </w:r>
      <w:r>
        <w:rPr>
          <w:rFonts w:eastAsia="Calibri" w:cs="Times New Roman" w:ascii="Times New Roman" w:hAnsi="Times New Roman"/>
          <w:b w:val="false"/>
          <w:bCs/>
          <w:i/>
          <w:iCs/>
          <w:caps w:val="false"/>
          <w:smallCaps w:val="false"/>
          <w:color w:val="000000"/>
          <w:spacing w:val="0"/>
          <w:sz w:val="18"/>
          <w:szCs w:val="18"/>
          <w:u w:val="none"/>
          <w:lang w:val="en-IN"/>
        </w:rPr>
        <w:t>” .  J. Mater. Sci., 58, 4499-4512 (2023)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Cabin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83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gure">
    <w:name w:val="Figure"/>
    <w:basedOn w:val="Caption"/>
    <w:qFormat/>
    <w:pPr/>
    <w:rPr/>
  </w:style>
  <w:style w:type="paragraph" w:styleId="Fig">
    <w:name w:val="Fig"/>
    <w:basedOn w:val="Caption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Application>LibreOffice/6.4.7.2$Linux_X86_64 LibreOffice_project/40$Build-2</Application>
  <Pages>1</Pages>
  <Words>369</Words>
  <Characters>2126</Characters>
  <CharactersWithSpaces>2491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2020-03-05T06:21:36Z</dcterms:created>
  <dc:creator>Krishnanjan Pramanik</dc:creator>
  <dc:description/>
  <dc:language>en-IN</dc:language>
  <cp:lastModifiedBy/>
  <dcterms:modified xsi:type="dcterms:W3CDTF">2023-04-22T09:51:26Z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