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5F3BA9B" w:rsidP="15F3BA9B" w:rsidRDefault="15F3BA9B" w14:paraId="7F0F68FE" w14:textId="3BEB3B39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Atomistic investigations on mixed halide Li-rich anti-perovskites </w:t>
      </w:r>
    </w:p>
    <w:p w:rsidR="15F3BA9B" w:rsidP="15F3BA9B" w:rsidRDefault="15F3BA9B" w14:paraId="11897D36" w14:textId="1026107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      (</w:t>
      </w:r>
      <m:oMath>
        <m:r>
          <m:rPr>
            <m:sty m:val="bi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OC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1-x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) </w:t>
      </w:r>
      <w:bookmarkStart w:name="_Int_3XqB8yJD" w:id="0"/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>employing</w:t>
      </w:r>
      <w:bookmarkStart w:name="_Int_aDXoXdHO" w:id="1"/>
      <w:bookmarkEnd w:id="0"/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1"/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>metadynamics  simulations</w:t>
      </w:r>
      <w:r w:rsidRPr="15F3BA9B">
        <w:rPr>
          <w:rFonts w:ascii="Times New Roman" w:hAnsi="Times New Roman" w:eastAsia="Times New Roman" w:cs="Times New Roman"/>
          <w:b/>
          <w:bCs/>
          <w:sz w:val="16"/>
          <w:szCs w:val="16"/>
        </w:rPr>
        <w:t xml:space="preserve"> </w:t>
      </w:r>
    </w:p>
    <w:p w:rsidR="15F3BA9B" w:rsidP="15F3BA9B" w:rsidRDefault="15F3BA9B" w14:paraId="30F4CF3A" w14:textId="48582C26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5F3BA9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       </w:t>
      </w:r>
      <w:r w:rsidRPr="15F3BA9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Sunil Kumar </w:t>
      </w:r>
      <w:proofErr w:type="spellStart"/>
      <w:r w:rsidRPr="15F3BA9B">
        <w:rPr>
          <w:rFonts w:ascii="Times New Roman" w:hAnsi="Times New Roman" w:eastAsia="Times New Roman" w:cs="Times New Roman"/>
          <w:b/>
          <w:bCs/>
          <w:sz w:val="24"/>
          <w:szCs w:val="24"/>
        </w:rPr>
        <w:t>Moharana</w:t>
      </w:r>
      <w:proofErr w:type="spellEnd"/>
      <w:r w:rsidRPr="15F3BA9B">
        <w:rPr>
          <w:rFonts w:ascii="Times New Roman" w:hAnsi="Times New Roman" w:eastAsia="Times New Roman" w:cs="Times New Roman"/>
          <w:b/>
          <w:bCs/>
          <w:sz w:val="24"/>
          <w:szCs w:val="24"/>
        </w:rPr>
        <w:t>, and Padma Kumar Padmanabhan</w:t>
      </w:r>
      <w:r w:rsidR="00BF6E42">
        <w:rPr>
          <w:rFonts w:ascii="Times New Roman" w:hAnsi="Times New Roman" w:eastAsia="Times New Roman" w:cs="Times New Roman"/>
          <w:b/>
          <w:bCs/>
          <w:sz w:val="24"/>
          <w:szCs w:val="24"/>
        </w:rPr>
        <w:t>*</w:t>
      </w:r>
    </w:p>
    <w:p w:rsidR="15F3BA9B" w:rsidP="15F3BA9B" w:rsidRDefault="15F3BA9B" w14:paraId="7278C9FD" w14:textId="59B2426C">
      <w:pPr>
        <w:rPr>
          <w:rFonts w:ascii="Times New Roman" w:hAnsi="Times New Roman" w:eastAsia="Times New Roman" w:cs="Times New Roman"/>
          <w:sz w:val="20"/>
          <w:szCs w:val="20"/>
        </w:rPr>
      </w:pPr>
      <w:r w:rsidRPr="15F3BA9B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Department of Physics, Indian Institute of Technology Guwahati, Guwahati, India.</w:t>
      </w:r>
    </w:p>
    <w:p w:rsidR="15F3BA9B" w:rsidP="15F3BA9B" w:rsidRDefault="15F3BA9B" w14:paraId="23FC0DC5" w14:textId="05EEC06D">
      <w:pPr>
        <w:rPr>
          <w:rFonts w:ascii="Times New Roman" w:hAnsi="Times New Roman" w:eastAsia="Times New Roman" w:cs="Times New Roman"/>
          <w:sz w:val="20"/>
          <w:szCs w:val="20"/>
        </w:rPr>
      </w:pPr>
      <w:r w:rsidRPr="15F3BA9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15F3BA9B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</w:t>
      </w:r>
      <m:oMath>
        <m:r>
          <w:rPr>
            <w:rFonts w:ascii="Cambria Math" w:hAnsi="Cambria Math"/>
          </w:rPr>
          <m:t>*</m:t>
        </m:r>
      </m:oMath>
      <w:r w:rsidRPr="15F3BA9B">
        <w:rPr>
          <w:rFonts w:ascii="Times New Roman" w:hAnsi="Times New Roman" w:eastAsia="Times New Roman" w:cs="Times New Roman"/>
          <w:sz w:val="20"/>
          <w:szCs w:val="20"/>
        </w:rPr>
        <w:t xml:space="preserve">Mailing address: </w:t>
      </w:r>
      <w:hyperlink r:id="rId4">
        <w:r w:rsidRPr="15F3BA9B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padmakumarp@iitg.ac.in</w:t>
        </w:r>
      </w:hyperlink>
    </w:p>
    <w:p w:rsidR="15F3BA9B" w:rsidP="15F3BA9B" w:rsidRDefault="15F3BA9B" w14:paraId="0C1FA90A" w14:textId="4957E92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15F3BA9B" w:rsidP="15F3BA9B" w:rsidRDefault="15F3BA9B" w14:paraId="6CA142D6" w14:textId="3E25B0C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91690D" w:rsidR="15F3BA9B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          </w:t>
      </w:r>
      <w:r w:rsidRPr="3691690D" w:rsidR="15F3BA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ABSTRACT</w:t>
      </w:r>
    </w:p>
    <w:p w:rsidR="15F3BA9B" w:rsidP="78F6AAAC" w:rsidRDefault="00BF6E42" w14:paraId="49AB78EC" w14:textId="1A553A9A">
      <w:pPr>
        <w:pStyle w:val="Normal"/>
        <w:spacing w:after="12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="00BF6E42">
        <w:rPr>
          <w:rFonts w:ascii="Times New Roman" w:hAnsi="Times New Roman" w:eastAsia="Times New Roman" w:cs="Times New Roman"/>
          <w:sz w:val="24"/>
          <w:szCs w:val="24"/>
        </w:rPr>
        <w:t>Over the last few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decades, lithium-ion batteries have gained great attention </w:t>
      </w:r>
      <w:r w:rsidR="00BF6E42">
        <w:rPr>
          <w:rFonts w:ascii="Times New Roman" w:hAnsi="Times New Roman" w:eastAsia="Times New Roman" w:cs="Times New Roman"/>
          <w:sz w:val="24"/>
          <w:szCs w:val="24"/>
        </w:rPr>
        <w:t>due</w:t>
      </w:r>
      <w:r w:rsidR="00BF6E42">
        <w:rPr>
          <w:rFonts w:ascii="Times New Roman" w:hAnsi="Times New Roman" w:eastAsia="Times New Roman" w:cs="Times New Roman"/>
          <w:sz w:val="24"/>
          <w:szCs w:val="24"/>
        </w:rPr>
        <w:t xml:space="preserve"> their high energy density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="00BF6E42">
        <w:rPr>
          <w:rFonts w:ascii="Times New Roman" w:hAnsi="Times New Roman" w:eastAsia="Times New Roman" w:cs="Times New Roman"/>
          <w:sz w:val="24"/>
          <w:szCs w:val="24"/>
        </w:rPr>
        <w:t xml:space="preserve">The next-generation batteries are </w:t>
      </w:r>
      <w:r w:rsidR="00BF6E42">
        <w:rPr>
          <w:rFonts w:ascii="Times New Roman" w:hAnsi="Times New Roman" w:eastAsia="Times New Roman" w:cs="Times New Roman"/>
          <w:sz w:val="24"/>
          <w:szCs w:val="24"/>
        </w:rPr>
        <w:t xml:space="preserve">contemplated</w:t>
      </w:r>
      <w:r w:rsidR="00BF6E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to use s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olid electrolytes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instead of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>liquid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/gel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electrolytes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, which would improve the energy density while ensuring better safety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>. Recently developed Li-rich anti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-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perovskite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OCl</m:t>
        </m:r>
      </m:oMath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is a promising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solid electrolyte due to its high ionic conductivity (0.85 mS/cm) and low activation energy at room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temperature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[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1]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In fact,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its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mixed halide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counterpart,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shows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even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higher conductivity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>1.94 mS/cm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 [1]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. In this work, molecular dynamics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simulations augmented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>metadynamics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>technique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[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2,3]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is used to investigate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1-x</m:t>
            </m:r>
          </m:sub>
        </m:sSub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47527">
        <w:rPr>
          <w:rFonts w:ascii="Times New Roman" w:hAnsi="Times New Roman" w:eastAsia="Times New Roman" w:cs="Times New Roman"/>
        </w:rPr>
        <w:t>,</w:t>
      </w:r>
      <w:r w:rsidR="002475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where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 to 1.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Th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e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study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examines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microscopic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 nature of 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ion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transport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in the systems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, including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the preferred migration channels in the system and energy barriers thereof, 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>in an effort to</w:t>
      </w:r>
      <w:r w:rsidR="00B40FC3">
        <w:rPr>
          <w:rFonts w:ascii="Times New Roman" w:hAnsi="Times New Roman" w:eastAsia="Times New Roman" w:cs="Times New Roman"/>
          <w:sz w:val="24"/>
          <w:szCs w:val="24"/>
        </w:rPr>
        <w:t xml:space="preserve"> understand the reasons behind the high Li-ion mobility in the matrix</w:t>
      </w:r>
      <w:r w:rsidRPr="15F3BA9B" w:rsidR="15F3BA9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8F6AAAC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F6AAAC" w:rsidR="15F3BA9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1EAD9A89">
        <w:drawing>
          <wp:inline wp14:editId="1EAD9A89" wp14:anchorId="0F56AA76">
            <wp:extent cx="2266950" cy="2295646"/>
            <wp:effectExtent l="0" t="0" r="0" b="0"/>
            <wp:docPr id="181205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9d9ab36e0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91690D" w:rsidR="3691690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3691690D">
        <w:drawing>
          <wp:inline wp14:editId="5B5A9D6E" wp14:anchorId="28023E1C">
            <wp:extent cx="2733675" cy="2038350"/>
            <wp:effectExtent l="0" t="0" r="0" b="0"/>
            <wp:docPr id="27464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43f4d1bf7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F6AAAC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F6AAAC" w:rsidR="15F3BA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8F6AAAC" w:rsidR="15F3BA9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78F6AAAC" w:rsidR="15F3BA9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8F6AAAC" w:rsidR="15F3BA9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Fig1. </w:t>
      </w:r>
      <w:r w:rsidRPr="1157EE9F" w:rsidR="36916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(Left) Spatial distribution of Li-ions over 2×2×</w:t>
      </w:r>
      <w:r w:rsidRPr="1157EE9F" w:rsidR="36916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 unit</w:t>
      </w:r>
      <w:r w:rsidRPr="1157EE9F" w:rsidR="36916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cells at two iso-density values (yellow &lt; red). (Right) Convergence of microscopic energy barrier for Li-ion hops between two neighboring sites with time in</w:t>
      </w:r>
      <w:r w:rsidRPr="15F3BA9B" w:rsidR="15F3BA9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OCl</m:t>
        </m:r>
      </m:oMath>
      <w:r w:rsidRPr="15F3BA9B" w:rsidR="15F3BA9B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15F3BA9B" w:rsidP="15F3BA9B" w:rsidRDefault="15F3BA9B" w14:paraId="6F5D1321" w14:textId="297E23CF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15F3BA9B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Keywords: </w:t>
      </w:r>
      <w:r w:rsidRPr="15F3BA9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Solid electrolytes, </w:t>
      </w:r>
      <w:proofErr w:type="spellStart"/>
      <w:r w:rsidRPr="15F3BA9B">
        <w:rPr>
          <w:rFonts w:ascii="Times New Roman" w:hAnsi="Times New Roman" w:eastAsia="Times New Roman" w:cs="Times New Roman"/>
          <w:i/>
          <w:iCs/>
          <w:sz w:val="24"/>
          <w:szCs w:val="24"/>
        </w:rPr>
        <w:t>antiperovskites</w:t>
      </w:r>
      <w:proofErr w:type="spellEnd"/>
      <w:r w:rsidRPr="15F3BA9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molecular dynamics, </w:t>
      </w:r>
      <w:proofErr w:type="spellStart"/>
      <w:r w:rsidRPr="15F3BA9B">
        <w:rPr>
          <w:rFonts w:ascii="Times New Roman" w:hAnsi="Times New Roman" w:eastAsia="Times New Roman" w:cs="Times New Roman"/>
          <w:i/>
          <w:iCs/>
          <w:sz w:val="24"/>
          <w:szCs w:val="24"/>
        </w:rPr>
        <w:t>metadynamics</w:t>
      </w:r>
      <w:proofErr w:type="spellEnd"/>
      <w:r w:rsidRPr="15F3BA9B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15F3BA9B" w:rsidP="15F3BA9B" w:rsidRDefault="15F3BA9B" w14:paraId="214F3C08" w14:textId="4BE59BC6"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 w:rsidRPr="15F3BA9B">
        <w:rPr>
          <w:rFonts w:ascii="Times New Roman" w:hAnsi="Times New Roman" w:eastAsia="Times New Roman" w:cs="Times New Roman"/>
          <w:b/>
          <w:bCs/>
          <w:sz w:val="20"/>
          <w:szCs w:val="20"/>
        </w:rPr>
        <w:t>Reference</w:t>
      </w:r>
    </w:p>
    <w:p w:rsidR="00B40FC3" w:rsidP="15F3BA9B" w:rsidRDefault="00B40FC3" w14:paraId="1CB257FD" w14:textId="6695460F">
      <w:pPr>
        <w:rPr>
          <w:rFonts w:ascii="Times New Roman" w:hAnsi="Times New Roman" w:eastAsia="Times New Roman" w:cs="Times New Roman"/>
          <w:sz w:val="20"/>
          <w:szCs w:val="20"/>
        </w:rPr>
      </w:pPr>
      <w:r w:rsidRPr="78F6AAAC" w:rsidR="15F3BA9B">
        <w:rPr>
          <w:rFonts w:ascii="Times New Roman" w:hAnsi="Times New Roman" w:eastAsia="Times New Roman" w:cs="Times New Roman"/>
          <w:sz w:val="20"/>
          <w:szCs w:val="20"/>
        </w:rPr>
        <w:t xml:space="preserve">        1] Y. Zhao and L. Daemen, </w:t>
      </w:r>
      <w:r w:rsidRPr="78F6AAAC" w:rsidR="15F3BA9B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J. Am. Chem. Soc.</w:t>
      </w:r>
      <w:r w:rsidRPr="78F6AAAC" w:rsidR="15F3BA9B">
        <w:rPr>
          <w:rFonts w:ascii="Times New Roman" w:hAnsi="Times New Roman" w:eastAsia="Times New Roman" w:cs="Times New Roman"/>
          <w:sz w:val="20"/>
          <w:szCs w:val="20"/>
        </w:rPr>
        <w:t>, 134(2012), 15042.</w:t>
      </w:r>
      <w:r w:rsidRPr="78F6AAAC" w:rsidR="00B40FC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78F6AAAC" w:rsidP="78F6AAAC" w:rsidRDefault="78F6AAAC" w14:paraId="4E0EC3E8" w14:textId="705415A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 xml:space="preserve">  2] A. 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>Laio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 xml:space="preserve"> and M. Parrinello, </w:t>
      </w:r>
      <w:r w:rsidRPr="3691690D" w:rsidR="78F6AAAC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Proc. Natl. Acad. Sci. U. S. A.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>, 99(2002), 12562.</w:t>
      </w:r>
      <w:proofErr w:type="spellStart"/>
      <w:proofErr w:type="spellEnd"/>
    </w:p>
    <w:p w:rsidR="15F3BA9B" w:rsidP="3691690D" w:rsidRDefault="15F3BA9B" w14:paraId="22B01442" w14:textId="2F8C9C5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691690D" w:rsidR="369169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</w:t>
      </w:r>
      <w:r w:rsidRPr="3691690D" w:rsidR="3691690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 xml:space="preserve">] K. Pramanik, S. Borah and P.P. Kumar, </w:t>
      </w:r>
      <w:r w:rsidRPr="3691690D" w:rsidR="78F6AAAC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Phys. Chem. Chem. Phys.</w:t>
      </w:r>
      <w:r w:rsidRPr="3691690D" w:rsidR="78F6AAAC">
        <w:rPr>
          <w:rFonts w:ascii="Times New Roman" w:hAnsi="Times New Roman" w:eastAsia="Times New Roman" w:cs="Times New Roman"/>
          <w:sz w:val="20"/>
          <w:szCs w:val="20"/>
        </w:rPr>
        <w:t>, 22(2020), 22796.</w:t>
      </w:r>
    </w:p>
    <w:p w:rsidR="15F3BA9B" w:rsidP="3691690D" w:rsidRDefault="15F3BA9B" w14:paraId="2CA4027B" w14:textId="0FB9ADD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691690D" w:rsidR="3691690D">
        <w:rPr>
          <w:rFonts w:ascii="Times New Roman" w:hAnsi="Times New Roman" w:eastAsia="Times New Roman" w:cs="Times New Roman"/>
          <w:sz w:val="20"/>
          <w:szCs w:val="20"/>
        </w:rPr>
        <w:t xml:space="preserve">        4] J. A. Dawson, H. Chen and M. S. Islam, </w:t>
      </w:r>
      <w:r w:rsidRPr="3691690D" w:rsidR="3691690D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J. Phys. Chem. C, 122(</w:t>
      </w:r>
      <w:r w:rsidRPr="3691690D" w:rsidR="3691690D">
        <w:rPr>
          <w:rFonts w:ascii="Times New Roman" w:hAnsi="Times New Roman" w:eastAsia="Times New Roman" w:cs="Times New Roman"/>
          <w:sz w:val="20"/>
          <w:szCs w:val="20"/>
        </w:rPr>
        <w:t>2018), 23978.</w:t>
      </w:r>
    </w:p>
    <w:p w:rsidR="15F3BA9B" w:rsidP="3691690D" w:rsidRDefault="15F3BA9B" w14:paraId="5C598657" w14:textId="72C0A18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5F3BA9B" w:rsidP="3691690D" w:rsidRDefault="15F3BA9B" w14:paraId="20BA9EE7" w14:textId="1B81ABA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="15F3BA9B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hHk3f7DhbEoqL" int2:id="tw6NcanK">
      <int2:state int2:value="Rejected" int2:type="LegacyProofing"/>
    </int2:textHash>
    <int2:bookmark int2:bookmarkName="_Int_3XqB8yJD" int2:invalidationBookmarkName="" int2:hashCode="RcjrhrUf+27r07" int2:id="ma6xGoii">
      <int2:state int2:value="Rejected" int2:type="LegacyProofing"/>
    </int2:bookmark>
    <int2:bookmark int2:bookmarkName="_Int_aDXoXdHO" int2:invalidationBookmarkName="" int2:hashCode="kr1169j9KwF5Fy" int2:id="0TQxgpGb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24486E"/>
    <w:rsid w:val="000B845B"/>
    <w:rsid w:val="00125A55"/>
    <w:rsid w:val="00247527"/>
    <w:rsid w:val="007BE952"/>
    <w:rsid w:val="00B40FC3"/>
    <w:rsid w:val="00BF6E42"/>
    <w:rsid w:val="0140DDC3"/>
    <w:rsid w:val="02AF1957"/>
    <w:rsid w:val="02AF1957"/>
    <w:rsid w:val="04166818"/>
    <w:rsid w:val="04D6A0C9"/>
    <w:rsid w:val="04E5ADC6"/>
    <w:rsid w:val="057D3587"/>
    <w:rsid w:val="059C374A"/>
    <w:rsid w:val="06FFDD8B"/>
    <w:rsid w:val="09112F2D"/>
    <w:rsid w:val="09112F2D"/>
    <w:rsid w:val="0A28B940"/>
    <w:rsid w:val="0A946EA9"/>
    <w:rsid w:val="0AA8C15A"/>
    <w:rsid w:val="0B2B8808"/>
    <w:rsid w:val="0BC65009"/>
    <w:rsid w:val="0BCBDBE9"/>
    <w:rsid w:val="0BCBDBE9"/>
    <w:rsid w:val="0C124067"/>
    <w:rsid w:val="0C623F41"/>
    <w:rsid w:val="0C8859BA"/>
    <w:rsid w:val="0DC34550"/>
    <w:rsid w:val="0E39C2B0"/>
    <w:rsid w:val="0EB1D2D9"/>
    <w:rsid w:val="0EB1D2D9"/>
    <w:rsid w:val="0EC774B4"/>
    <w:rsid w:val="106AE558"/>
    <w:rsid w:val="114D79CB"/>
    <w:rsid w:val="1157EE9F"/>
    <w:rsid w:val="116C6E3C"/>
    <w:rsid w:val="1298A541"/>
    <w:rsid w:val="13365325"/>
    <w:rsid w:val="13E694E1"/>
    <w:rsid w:val="141D2B0E"/>
    <w:rsid w:val="148E5B87"/>
    <w:rsid w:val="154E15A5"/>
    <w:rsid w:val="15B167F8"/>
    <w:rsid w:val="15F3BA9B"/>
    <w:rsid w:val="1644D495"/>
    <w:rsid w:val="16DF36F4"/>
    <w:rsid w:val="1724486E"/>
    <w:rsid w:val="1733D375"/>
    <w:rsid w:val="1733D375"/>
    <w:rsid w:val="174D3859"/>
    <w:rsid w:val="175A0977"/>
    <w:rsid w:val="185DEA89"/>
    <w:rsid w:val="18C227A5"/>
    <w:rsid w:val="19FDAF59"/>
    <w:rsid w:val="1A0ECABF"/>
    <w:rsid w:val="1B401196"/>
    <w:rsid w:val="1B6066CD"/>
    <w:rsid w:val="1BC0B8F5"/>
    <w:rsid w:val="1D35501B"/>
    <w:rsid w:val="1D8EB0AF"/>
    <w:rsid w:val="1D8F0AEB"/>
    <w:rsid w:val="1EAD9A89"/>
    <w:rsid w:val="1F6E416F"/>
    <w:rsid w:val="1F8D60A1"/>
    <w:rsid w:val="1FD28E7E"/>
    <w:rsid w:val="206CF0DD"/>
    <w:rsid w:val="20CFD80E"/>
    <w:rsid w:val="218AB0AF"/>
    <w:rsid w:val="22ABFEB7"/>
    <w:rsid w:val="234029AE"/>
    <w:rsid w:val="23A8CFD3"/>
    <w:rsid w:val="23BDB9FC"/>
    <w:rsid w:val="24509824"/>
    <w:rsid w:val="25E84FFD"/>
    <w:rsid w:val="263424F3"/>
    <w:rsid w:val="26454059"/>
    <w:rsid w:val="26454059"/>
    <w:rsid w:val="26B03481"/>
    <w:rsid w:val="27137783"/>
    <w:rsid w:val="27E58DE9"/>
    <w:rsid w:val="29AAC464"/>
    <w:rsid w:val="2B7D5230"/>
    <w:rsid w:val="2B9AB95B"/>
    <w:rsid w:val="2CCDE397"/>
    <w:rsid w:val="2E7E3587"/>
    <w:rsid w:val="2F277C7D"/>
    <w:rsid w:val="2F521282"/>
    <w:rsid w:val="308B022D"/>
    <w:rsid w:val="3137301D"/>
    <w:rsid w:val="31F9FC4A"/>
    <w:rsid w:val="325DEA32"/>
    <w:rsid w:val="329EE28A"/>
    <w:rsid w:val="32EF7758"/>
    <w:rsid w:val="32EF7758"/>
    <w:rsid w:val="35566659"/>
    <w:rsid w:val="3574A28F"/>
    <w:rsid w:val="3691690D"/>
    <w:rsid w:val="36F236BA"/>
    <w:rsid w:val="37AC0D15"/>
    <w:rsid w:val="38CB8AFF"/>
    <w:rsid w:val="3A14C7A7"/>
    <w:rsid w:val="3A675B60"/>
    <w:rsid w:val="3A82EB3A"/>
    <w:rsid w:val="3B0F76E9"/>
    <w:rsid w:val="3BEA0364"/>
    <w:rsid w:val="3CE97D1B"/>
    <w:rsid w:val="3D9EFC22"/>
    <w:rsid w:val="3EA5CD74"/>
    <w:rsid w:val="3EA89EB0"/>
    <w:rsid w:val="3F458DCD"/>
    <w:rsid w:val="40DFDDDE"/>
    <w:rsid w:val="4181E3E5"/>
    <w:rsid w:val="4181E3E5"/>
    <w:rsid w:val="41EEE028"/>
    <w:rsid w:val="425944E8"/>
    <w:rsid w:val="427D2E8F"/>
    <w:rsid w:val="431DB446"/>
    <w:rsid w:val="4377D99B"/>
    <w:rsid w:val="438D4D08"/>
    <w:rsid w:val="43BD0696"/>
    <w:rsid w:val="45B4CF51"/>
    <w:rsid w:val="46C4EDCA"/>
    <w:rsid w:val="481A59AD"/>
    <w:rsid w:val="49F4662D"/>
    <w:rsid w:val="4A884074"/>
    <w:rsid w:val="4AE989E6"/>
    <w:rsid w:val="4B198365"/>
    <w:rsid w:val="4C263BE4"/>
    <w:rsid w:val="4DDC3306"/>
    <w:rsid w:val="4DDFBF8E"/>
    <w:rsid w:val="4FE041A5"/>
    <w:rsid w:val="503FCC4F"/>
    <w:rsid w:val="50F781F8"/>
    <w:rsid w:val="51760371"/>
    <w:rsid w:val="51DACF45"/>
    <w:rsid w:val="52099779"/>
    <w:rsid w:val="52ADAC9E"/>
    <w:rsid w:val="5415FA5D"/>
    <w:rsid w:val="5469FCF7"/>
    <w:rsid w:val="56C245D6"/>
    <w:rsid w:val="56E2FF1A"/>
    <w:rsid w:val="576F47AC"/>
    <w:rsid w:val="576F47AC"/>
    <w:rsid w:val="580125DB"/>
    <w:rsid w:val="58298FD6"/>
    <w:rsid w:val="583FDDC2"/>
    <w:rsid w:val="5944F5FE"/>
    <w:rsid w:val="59F656D0"/>
    <w:rsid w:val="5A73E180"/>
    <w:rsid w:val="5A73E180"/>
    <w:rsid w:val="5AC4491B"/>
    <w:rsid w:val="5B7E86DA"/>
    <w:rsid w:val="5DE4A881"/>
    <w:rsid w:val="5E5B7D36"/>
    <w:rsid w:val="5EC6ADBB"/>
    <w:rsid w:val="5FA78DAA"/>
    <w:rsid w:val="5FADE2AB"/>
    <w:rsid w:val="5FF30F63"/>
    <w:rsid w:val="61D30FED"/>
    <w:rsid w:val="62F4FB35"/>
    <w:rsid w:val="64C283C4"/>
    <w:rsid w:val="64C283C4"/>
    <w:rsid w:val="65CEA901"/>
    <w:rsid w:val="65EFBA66"/>
    <w:rsid w:val="66603627"/>
    <w:rsid w:val="67128551"/>
    <w:rsid w:val="67997732"/>
    <w:rsid w:val="683B85BB"/>
    <w:rsid w:val="6866577B"/>
    <w:rsid w:val="69354793"/>
    <w:rsid w:val="6A0227DC"/>
    <w:rsid w:val="6A2E2C7A"/>
    <w:rsid w:val="6AC4F9BE"/>
    <w:rsid w:val="6B1CCBE4"/>
    <w:rsid w:val="6BC9FCDB"/>
    <w:rsid w:val="6C2984FD"/>
    <w:rsid w:val="6DA471B2"/>
    <w:rsid w:val="6E42FEFE"/>
    <w:rsid w:val="6E546CA6"/>
    <w:rsid w:val="6EAAC73F"/>
    <w:rsid w:val="6F6125BF"/>
    <w:rsid w:val="71164FA0"/>
    <w:rsid w:val="7298C681"/>
    <w:rsid w:val="72DCF6AA"/>
    <w:rsid w:val="7322DB9D"/>
    <w:rsid w:val="732CE08F"/>
    <w:rsid w:val="746489BC"/>
    <w:rsid w:val="747B8317"/>
    <w:rsid w:val="7614976C"/>
    <w:rsid w:val="764E10E3"/>
    <w:rsid w:val="765A7C5F"/>
    <w:rsid w:val="76BF1A1E"/>
    <w:rsid w:val="775ADA4B"/>
    <w:rsid w:val="77E9E144"/>
    <w:rsid w:val="77FF15CC"/>
    <w:rsid w:val="78F6AAAC"/>
    <w:rsid w:val="7921A99F"/>
    <w:rsid w:val="7A8ED08B"/>
    <w:rsid w:val="7AC1F52B"/>
    <w:rsid w:val="7AFF5C69"/>
    <w:rsid w:val="7B19C751"/>
    <w:rsid w:val="7B218206"/>
    <w:rsid w:val="7B980383"/>
    <w:rsid w:val="7C2465AA"/>
    <w:rsid w:val="7C63E4DD"/>
    <w:rsid w:val="7C6AB093"/>
    <w:rsid w:val="7CE4B740"/>
    <w:rsid w:val="7D4FBA4A"/>
    <w:rsid w:val="7DC0360B"/>
    <w:rsid w:val="7E464DDF"/>
    <w:rsid w:val="7F95664E"/>
    <w:rsid w:val="7FBDEEF6"/>
    <w:rsid w:val="7FD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486E"/>
  <w15:chartTrackingRefBased/>
  <w15:docId w15:val="{453516B5-F8F2-486A-840A-2ACDE0C9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padmakumarp@iitg.ac.in" TargetMode="External" Id="rId4" /><Relationship Type="http://schemas.openxmlformats.org/officeDocument/2006/relationships/image" Target="/media/image3.jpg" Id="R84543f4d1bf74288" /><Relationship Type="http://schemas.openxmlformats.org/officeDocument/2006/relationships/image" Target="/media/image2.jpg" Id="R9c69d9ab36e04d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SUNIL KUMAR MOHARANA</dc:creator>
  <keywords/>
  <dc:description/>
  <lastModifiedBy>SUNIL KUMAR MOHARANA</lastModifiedBy>
  <revision>6</revision>
  <dcterms:created xsi:type="dcterms:W3CDTF">2022-06-09T05:35:00.0000000Z</dcterms:created>
  <dcterms:modified xsi:type="dcterms:W3CDTF">2023-04-25T10:16:51.4626405Z</dcterms:modified>
</coreProperties>
</file>