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Statement of Work — Operating Model Redesign 2026</w:t>
      </w:r>
    </w:p>
    <w:p>
      <w:r>
        <w:t>Client: Nordwind Logistics GmbH</w:t>
      </w:r>
    </w:p>
    <w:p>
      <w:r>
        <w:t>Commercial model: fixed fee + expenses</w:t>
      </w:r>
    </w:p>
    <w:p>
      <w:r>
        <w:t>Phase: discovery → design → roadmap</w:t>
      </w:r>
    </w:p>
    <w:p>
      <w:r>
        <w:t>Start: 2026-01-15  End: 2026-06-30</w:t>
      </w:r>
    </w:p>
    <w:p>
      <w:r>
        <w:t>Deliverable: Target Operating Model blueprint (due 2026-04-30)</w:t>
      </w:r>
    </w:p>
    <w:p>
      <w:r>
        <w:t>Deliverable: Roadmap Implementierung (90 Tage) due 2026-05-15</w:t>
      </w:r>
    </w:p>
    <w:p>
      <w:r>
        <w:t>Success criterion: Define a target operating model for warehouse + transport planning within 12 weeks.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