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2C59"/>
          <w:sz w:val="40"/>
        </w:rPr>
        <w:t>PyroSat — SIH 2026 Executive Abstract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Problem Statement: SIH26162 | Organization: NTRO | Team: Thinkers</w:t>
      </w:r>
    </w:p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>Platform: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color w:val="2563EB"/>
          <w:sz w:val="22"/>
          <w:u w:val="single"/>
        </w:rPr>
        <w:t>PyroSat Live Deployment</w:t>
      </w:r>
      <w:r>
        <w:rPr>
          <w:rFonts w:ascii="Calibri" w:hAnsi="Calibri"/>
          <w:sz w:val="22"/>
        </w:rPr>
        <w:t xml:space="preserve"> | </w:t>
      </w:r>
      <w:r>
        <w:rPr>
          <w:rFonts w:ascii="Calibri" w:hAnsi="Calibri"/>
          <w:b/>
          <w:sz w:val="22"/>
        </w:rPr>
        <w:t>Repository: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color w:val="2563EB"/>
          <w:sz w:val="22"/>
          <w:u w:val="single"/>
        </w:rPr>
        <w:t>GitHub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C2410C"/>
          <w:sz w:val="30"/>
        </w:rPr>
        <w:t>Abstract (~10,000 Characters)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Title</w:t>
      </w:r>
    </w:p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>PyroSat: AI-Based Detection &amp; Classification of Industrial Fires, Gas Flares &amp; Persistent Thermal Sources Using NASA FIRMS Satellite Data, Multi-Sensor Earth Observation, and Explainable Hierarchical Machine Learning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1. Problem Context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India operates one of the world's largest and most densely concentrated industrial infrastructures — over 23 petroleum refineries, 7,000+ chemical manufacturing units, 64 coal thermal power stations, and hundreds of integrated steel complexes — many situated in close proximity to agricultural belts, biosphere reserves, and civilian settlements. This industrial density creates a severe and persistent operational intelligence gap: when do thermal anomalies detected by orbiting satellites represent controlled, permitted industrial operations versus life-threatening uncontained disasters?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NASA's Fire Information for Resource Management System (FIRMS) continuously ingests thermal infrared measurements from VIIRS (375m resolution aboard Suomi-NPP, NOAA-20, NOAA-21) and MODIS (1km, Terra/Aqua), producing thousands of thermal fire detections daily across India's landmass — spanning agricultural stubble burning in Punjab, forest canopy fires in Odisha, routine gas flaring at Jamnagar, and occasional runaway industrial disasters. The foundational problem is that a satellite thermal pixel has no intrinsic semantic awareness of what is burning beneath it. A 375-meter VIIRS pixel encodes a spatially averaged mixed-signal radiance from a sub-pixel combustion source — possibly a 15 m² refinery flare tip — and hundreds of meters of cool background terrain. Without additional intelligence, the pixel cannot distinguish:</w:t>
      </w:r>
    </w:p>
    <w:p>
      <w:pPr>
        <w:pStyle w:val="ListNumber"/>
        <w:spacing w:before="20" w:after="40"/>
      </w:pPr>
      <w:r>
        <w:rPr>
          <w:rFonts w:ascii="Calibri" w:hAnsi="Calibri"/>
          <w:sz w:val="22"/>
        </w:rPr>
        <w:t>Permitted routine petrochemical flaring;</w:t>
      </w:r>
    </w:p>
    <w:p>
      <w:pPr>
        <w:pStyle w:val="ListNumber"/>
        <w:spacing w:before="20" w:after="40"/>
      </w:pPr>
      <w:r>
        <w:rPr>
          <w:rFonts w:ascii="Calibri" w:hAnsi="Calibri"/>
          <w:sz w:val="22"/>
        </w:rPr>
        <w:t>A catastrophic runaway storage tank explosion venting toxic benzene or LPG into civilian airspace;</w:t>
      </w:r>
    </w:p>
    <w:p>
      <w:pPr>
        <w:pStyle w:val="ListNumber"/>
        <w:spacing w:before="20" w:after="40"/>
      </w:pPr>
      <w:r>
        <w:rPr>
          <w:rFonts w:ascii="Calibri" w:hAnsi="Calibri"/>
          <w:sz w:val="22"/>
        </w:rPr>
        <w:t>Agricultural stubble burning adjacent to a factory boundary;</w:t>
      </w:r>
    </w:p>
    <w:p>
      <w:pPr>
        <w:pStyle w:val="ListNumber"/>
        <w:spacing w:before="20" w:after="40"/>
      </w:pPr>
      <w:r>
        <w:rPr>
          <w:rFonts w:ascii="Calibri" w:hAnsi="Calibri"/>
          <w:sz w:val="22"/>
        </w:rPr>
        <w:t>Daytime solar specular glint off corrugated metal rooftops mimicking thermal signatures; or</w:t>
      </w:r>
    </w:p>
    <w:p>
      <w:pPr>
        <w:pStyle w:val="ListNumber"/>
        <w:spacing w:before="20" w:after="40"/>
      </w:pPr>
      <w:r>
        <w:rPr>
          <w:rFonts w:ascii="Calibri" w:hAnsi="Calibri"/>
          <w:sz w:val="22"/>
        </w:rPr>
        <w:t>Underground coal seam combustion near a thermal power station.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This ambiguity directly costs lives, paralyzes emergency services, and causes over 68% of emergency mobilizations in industrial zones to be wasted on benign industrial emissions or false alarms.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2. The Core Scientific Crisis — Circular Ground-Truth Trap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The central challenge facing any AI system tackling this problem statement is the </w:t>
      </w:r>
      <w:r>
        <w:rPr>
          <w:rFonts w:ascii="Calibri" w:hAnsi="Calibri"/>
          <w:b/>
          <w:sz w:val="22"/>
        </w:rPr>
        <w:t>Circular Ground-Truth Trap</w:t>
      </w:r>
      <w:r>
        <w:rPr>
          <w:rFonts w:ascii="Calibri" w:hAnsi="Calibri"/>
          <w:sz w:val="22"/>
        </w:rPr>
        <w:t xml:space="preserve">. Standard approaches generate synthetic training datasets by applying proximity heuristics: </w:t>
      </w:r>
      <w:r>
        <w:rPr>
          <w:rFonts w:ascii="Calibri" w:hAnsi="Calibri"/>
          <w:i/>
          <w:sz w:val="22"/>
        </w:rPr>
        <w:t>"if a satellite hotspot falls within 2 km of an industrial facility, label it INDUSTRIAL_FIRE."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A machine learning model trained on this synthetic data achieves reported test accuracies of 95–99% in offline notebooks, yet catastrophically fails in operational deployment: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sz w:val="22"/>
        </w:rPr>
        <w:t>When an agricultural stubble fire burns adjacent to a fertilizer plant fence, the model falsely labels it an industrial disaster, triggering unnecessary NDRF evacuation orders.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sz w:val="22"/>
        </w:rPr>
        <w:t>When solar glint reflects off an industrial warehouse tin roof, it alerts on a phantom fire.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sz w:val="22"/>
        </w:rPr>
        <w:t>When an actual explosion occurs at an unmapped chemical unit, it is misclassified as biomass burning.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When evaluated by domain scientists at organizations such as NTRO or NDMA, proximity-based models are immediately disqualified for scientific incoherence: they cannot explain why a specific pixel was classified as a disaster, offer zero physical evidence for their decision, and their reported accuracy figures are statistically meaningless artifacts of the proximity heuristic itself.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3. PyroSat's Unique Technical Approach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PyroSat eliminates the circular ground-truth trap by grounding every decision in fundamental thermal physics, rigorous multi-modal Earth Observation (EO), and transparent, mathematically exact explainability across four operational pillars:</w:t>
      </w:r>
    </w:p>
    <w:p>
      <w:pPr>
        <w:pStyle w:val="Heading4"/>
        <w:keepNext/>
        <w:spacing w:before="160" w:after="40"/>
      </w:pPr>
      <w:r>
        <w:rPr>
          <w:rFonts w:ascii="Calibri" w:hAnsi="Calibri"/>
          <w:b/>
          <w:i/>
          <w:color w:val="464646"/>
          <w:sz w:val="22"/>
        </w:rPr>
        <w:t>Pillar 1: Sub-Pixel Combustion Pyrometry (Dozier 1981 Inversion)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PyroSat applies the Dozier (1981) dual-band numerical inversion method — solving simultaneous non-linear Planck blackbody radiance equations across MWIR (3.74 μm) and LWIR (11.45 μm) spectral channels: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\Delta L_{\text{MIR}} = p \cdot B(\lambda_{\text{MIR}}, T_f) + (1 - p) \cdot B(\lambda_{\text{MIR}}, T_b)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\Delta L_{\text{TIR}} = p \cdot B(\lambda_{\text{TIR}}, T_f) + (1 - p) \cdot B(\lambda_{\text{TIR}}, T_b)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This physically decouples the true sub-pixel flame temperature (T_f in Kelvin) and fractional combustion area (A_f in m²) from background terrain radiance clutter within a single 375-meter VIIRS footprint. Petrochemical refinery flares exhibit T_f &gt; 1100\text{ K} with A_f &lt; 100\text{ m}^2 and radiant heat flux &gt; 80\text{ kW/m}^2; agricultural and forest biomass fires produce T_f \approx 600\text{--}900\text{ K} with A_f &gt; 200\text{ m}^2; non-combustion artifacts (solar glints, warm roofs) fail to converge to physical blackbody solutions, triggering automatic rejection.</w:t>
      </w:r>
    </w:p>
    <w:p>
      <w:pPr>
        <w:pStyle w:val="Heading4"/>
        <w:keepNext/>
        <w:spacing w:before="160" w:after="40"/>
      </w:pPr>
      <w:r>
        <w:rPr>
          <w:rFonts w:ascii="Calibri" w:hAnsi="Calibri"/>
          <w:b/>
          <w:i/>
          <w:color w:val="464646"/>
          <w:sz w:val="22"/>
        </w:rPr>
        <w:t>Pillar 2: 26-Dimensional Multi-Modal Feature Vector &amp; 2-Stage Hierarchical ML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Every confirmed thermal detection is embedded into a 26-dimensional multi-modal feature vector integrating: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Radiometric Physics:</w:t>
      </w:r>
      <w:r>
        <w:rPr>
          <w:rFonts w:ascii="Calibri" w:hAnsi="Calibri"/>
          <w:sz w:val="22"/>
        </w:rPr>
        <w:t xml:space="preserve"> T_f, A_f, Radiant Heat Flux, MWIR-LWIR brightness differential (\Delta T_{45}), Fire Radiative Power (FRP);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Spatial Proximity:</w:t>
      </w:r>
      <w:r>
        <w:rPr>
          <w:rFonts w:ascii="Calibri" w:hAnsi="Calibri"/>
          <w:sz w:val="22"/>
        </w:rPr>
        <w:t xml:space="preserve"> O(\log N) Haversine BallTree distances to curated industrial facilities from the World Bank GGFR and Global Energy Monitor (GEM) databases;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Temporal Persistence:</w:t>
      </w:r>
      <w:r>
        <w:rPr>
          <w:rFonts w:ascii="Calibri" w:hAnsi="Calibri"/>
          <w:sz w:val="22"/>
        </w:rPr>
        <w:t xml:space="preserve"> 90-day historical recurrence frequency, historical mean FRP (\mu), standard deviation (\sigma), and FRP z-score (z = \frac{\text{FRP} - \mu}{\sigma});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EO Surface Grounding:</w:t>
      </w:r>
      <w:r>
        <w:rPr>
          <w:rFonts w:ascii="Calibri" w:hAnsi="Calibri"/>
          <w:sz w:val="22"/>
        </w:rPr>
        <w:t xml:space="preserve"> ESA WorldCover 10m Land Use / Land Cover (LULC) classification and Sentinel-2 L2A bottom-of-atmosphere surface reflectance (NDVI vegetation index, NBR burn ratio, SWIR water/glint ratios).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A calibrated two-stage LightGBM hierarchy classifies the vector: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Stage 1:</w:t>
      </w:r>
      <w:r>
        <w:rPr>
          <w:rFonts w:ascii="Calibri" w:hAnsi="Calibri"/>
          <w:sz w:val="22"/>
        </w:rPr>
        <w:t xml:space="preserve"> Distinguishes </w:t>
      </w:r>
      <w:r>
        <w:rPr>
          <w:rFonts w:ascii="Consolas" w:hAnsi="Consolas"/>
          <w:color w:val="B42828"/>
          <w:sz w:val="19"/>
        </w:rPr>
        <w:t>INDUSTRIAL</w:t>
      </w:r>
      <w:r>
        <w:rPr>
          <w:rFonts w:ascii="Calibri" w:hAnsi="Calibri"/>
          <w:sz w:val="22"/>
        </w:rPr>
        <w:t xml:space="preserve"> from </w:t>
      </w:r>
      <w:r>
        <w:rPr>
          <w:rFonts w:ascii="Consolas" w:hAnsi="Consolas"/>
          <w:color w:val="B42828"/>
          <w:sz w:val="19"/>
        </w:rPr>
        <w:t>NON-INDUSTRIAL</w:t>
      </w:r>
      <w:r>
        <w:rPr>
          <w:rFonts w:ascii="Calibri" w:hAnsi="Calibri"/>
          <w:sz w:val="22"/>
        </w:rPr>
        <w:t xml:space="preserve"> anomalies.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Stage 2A (Industrial):</w:t>
      </w:r>
      <w:r>
        <w:rPr>
          <w:rFonts w:ascii="Calibri" w:hAnsi="Calibri"/>
          <w:sz w:val="22"/>
        </w:rPr>
        <w:t xml:space="preserve"> Resolves subtypes into </w:t>
      </w:r>
      <w:r>
        <w:rPr>
          <w:rFonts w:ascii="Consolas" w:hAnsi="Consolas"/>
          <w:color w:val="B42828"/>
          <w:sz w:val="19"/>
        </w:rPr>
        <w:t>INDUSTRIAL_FLARE</w:t>
      </w:r>
      <w:r>
        <w:rPr>
          <w:rFonts w:ascii="Calibri" w:hAnsi="Calibri"/>
          <w:sz w:val="22"/>
        </w:rPr>
        <w:t xml:space="preserve"> (controlled routine), </w:t>
      </w:r>
      <w:r>
        <w:rPr>
          <w:rFonts w:ascii="Consolas" w:hAnsi="Consolas"/>
          <w:color w:val="B42828"/>
          <w:sz w:val="19"/>
        </w:rPr>
        <w:t>INDUSTRIAL_DISASTER</w:t>
      </w:r>
      <w:r>
        <w:rPr>
          <w:rFonts w:ascii="Calibri" w:hAnsi="Calibri"/>
          <w:sz w:val="22"/>
        </w:rPr>
        <w:t xml:space="preserve"> (uncontrolled catastrophic event), or </w:t>
      </w:r>
      <w:r>
        <w:rPr>
          <w:rFonts w:ascii="Consolas" w:hAnsi="Consolas"/>
          <w:color w:val="B42828"/>
          <w:sz w:val="19"/>
        </w:rPr>
        <w:t>INDUSTRIAL_PROCESS</w:t>
      </w:r>
      <w:r>
        <w:rPr>
          <w:rFonts w:ascii="Calibri" w:hAnsi="Calibri"/>
          <w:sz w:val="22"/>
        </w:rPr>
        <w:t xml:space="preserve"> (smelting/kiln/coke-oven).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Stage 2B (Non-Industrial):</w:t>
      </w:r>
      <w:r>
        <w:rPr>
          <w:rFonts w:ascii="Calibri" w:hAnsi="Calibri"/>
          <w:sz w:val="22"/>
        </w:rPr>
        <w:t xml:space="preserve"> Resolves into </w:t>
      </w:r>
      <w:r>
        <w:rPr>
          <w:rFonts w:ascii="Consolas" w:hAnsi="Consolas"/>
          <w:color w:val="B42828"/>
          <w:sz w:val="19"/>
        </w:rPr>
        <w:t>FOREST_WILDFIRE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color w:val="B42828"/>
          <w:sz w:val="19"/>
        </w:rPr>
        <w:t>AGRICULTURAL_BURNING</w:t>
      </w:r>
      <w:r>
        <w:rPr>
          <w:rFonts w:ascii="Calibri" w:hAnsi="Calibri"/>
          <w:sz w:val="22"/>
        </w:rPr>
        <w:t>.</w:t>
      </w:r>
    </w:p>
    <w:p>
      <w:pPr>
        <w:pStyle w:val="Heading4"/>
        <w:keepNext/>
        <w:spacing w:before="160" w:after="40"/>
      </w:pPr>
      <w:r>
        <w:rPr>
          <w:rFonts w:ascii="Calibri" w:hAnsi="Calibri"/>
          <w:b/>
          <w:i/>
          <w:color w:val="464646"/>
          <w:sz w:val="22"/>
        </w:rPr>
        <w:t>Pillar 3: Mathematically Exact Lundberg TreeSHAP Explainability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Every prediction is accompanied by exact local Shapley values (\phi_i) computed via polynomial dynamic programming TreeSHAP (O(TLD^2)), guaranteeing additive efficiency (\sum \phi_i + \phi_0 = f(x)). Incident commanders, CPCB regulators, and NTRO analysts can inspect the exact contribution of each physical feature (e.g., +0.31 from T_f = 1360\text{ K}, +0.24 from FRP z-score = 4.2, -0.18 from NDVI = 0.12). This eliminates black-box AI hallucination and meets the stringent legal evidentiary standards required for emergency administrative action.</w:t>
      </w:r>
    </w:p>
    <w:p>
      <w:pPr>
        <w:pStyle w:val="Heading4"/>
        <w:keepNext/>
        <w:spacing w:before="160" w:after="40"/>
      </w:pPr>
      <w:r>
        <w:rPr>
          <w:rFonts w:ascii="Calibri" w:hAnsi="Calibri"/>
          <w:b/>
          <w:i/>
          <w:color w:val="464646"/>
          <w:sz w:val="22"/>
        </w:rPr>
        <w:t>Pillar 4: 5-Gate Adversarial Skeptic AI Falsification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Before any alert is escalated to emergency responders, it must survive five sequential adversarial falsification gates: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Gate 1 (Solar Glint Filter):</w:t>
      </w:r>
      <w:r>
        <w:rPr>
          <w:rFonts w:ascii="Calibri" w:hAnsi="Calibri"/>
          <w:sz w:val="22"/>
        </w:rPr>
        <w:t xml:space="preserve"> Rejects daytime high-reflectance low-temperature specular anomalies off metallic/water surfaces.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Gate 2 (Planck Combustion Gate):</w:t>
      </w:r>
      <w:r>
        <w:rPr>
          <w:rFonts w:ascii="Calibri" w:hAnsi="Calibri"/>
          <w:sz w:val="22"/>
        </w:rPr>
        <w:t xml:space="preserve"> Rejects non-physical detections where resolved T_f &lt; 650\text{ K}.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Gate 3 (Canopy Fuel Gate):</w:t>
      </w:r>
      <w:r>
        <w:rPr>
          <w:rFonts w:ascii="Calibri" w:hAnsi="Calibri"/>
          <w:sz w:val="22"/>
        </w:rPr>
        <w:t xml:space="preserve"> If NDVI &gt; 0.55, overrides industrial labels to biomass/forest fire.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Gate 4 (Permitted Baseline Gate):</w:t>
      </w:r>
      <w:r>
        <w:rPr>
          <w:rFonts w:ascii="Calibri" w:hAnsi="Calibri"/>
          <w:sz w:val="22"/>
        </w:rPr>
        <w:t xml:space="preserve"> Suppresses recurring flares operating within historical limits (\mu \pm 2\sigma).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Gate 5 (Transient Glitch Gate):</w:t>
      </w:r>
      <w:r>
        <w:rPr>
          <w:rFonts w:ascii="Calibri" w:hAnsi="Calibri"/>
          <w:sz w:val="22"/>
        </w:rPr>
        <w:t xml:space="preserve"> Filters isolated single-pixel sensor noise with no historical or spatial corroboration.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4. Emergency Response &amp; Incident Action Plan (IAP) Generation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When an </w:t>
      </w:r>
      <w:r>
        <w:rPr>
          <w:rFonts w:ascii="Consolas" w:hAnsi="Consolas"/>
          <w:color w:val="B42828"/>
          <w:sz w:val="19"/>
        </w:rPr>
        <w:t>INDUSTRIAL_DISASTER</w:t>
      </w:r>
      <w:r>
        <w:rPr>
          <w:rFonts w:ascii="Calibri" w:hAnsi="Calibri"/>
          <w:sz w:val="22"/>
        </w:rPr>
        <w:t xml:space="preserve"> survives all 5 gates, PyroSat immediately triggers downstream disaster intelligence: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Briggs Buoyancy Plume Rise &amp; Pasquill-Gifford Gaussian Dispersion:</w:t>
      </w:r>
      <w:r>
        <w:rPr>
          <w:rFonts w:ascii="Calibri" w:hAnsi="Calibri"/>
          <w:sz w:val="22"/>
        </w:rPr>
        <w:t xml:space="preserve"> Ingests live wind vectors and atmospheric stability from Open-Meteo to model downwind toxic vapor transport (\chi(x, y, 0)), projecting AEGL-1/2/3 ground-level toxic concentration isopleths.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HazMat Profile Integration:</w:t>
      </w:r>
      <w:r>
        <w:rPr>
          <w:rFonts w:ascii="Calibri" w:hAnsi="Calibri"/>
          <w:sz w:val="22"/>
        </w:rPr>
        <w:t xml:space="preserve"> Cross-references the site against CAMEO/NIOSH chemical registries for stored hazardous substances (e.g., Benzene, Chlorine, Ammonia, LPG), extracting UN chemical codes, IDLH levels, and Emergency Response Guidebook (ERG) isolation distances.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Automated PDF IAP Dispatch:</w:t>
      </w:r>
      <w:r>
        <w:rPr>
          <w:rFonts w:ascii="Calibri" w:hAnsi="Calibri"/>
          <w:sz w:val="22"/>
        </w:rPr>
        <w:t xml:space="preserve"> Generates a publication-grade, ready-to-print Incident Action Plan PDF within seconds, detailing evacuation boundaries, affected population counts (WorldPop), recommended firefighting media, and responder approach vectors.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5. Feasibility, Readiness &amp; Impact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PyroSat is not a conceptual slide deck — it is a </w:t>
      </w:r>
      <w:r>
        <w:rPr>
          <w:rFonts w:ascii="Calibri" w:hAnsi="Calibri"/>
          <w:b/>
          <w:sz w:val="22"/>
        </w:rPr>
        <w:t>fully functional, deployed software platform</w:t>
      </w:r>
      <w:r>
        <w:rPr>
          <w:rFonts w:ascii="Calibri" w:hAnsi="Calibri"/>
          <w:sz w:val="22"/>
        </w:rPr>
        <w:t>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Live Deployment:</w:t>
      </w:r>
      <w:r>
        <w:rPr>
          <w:rFonts w:ascii="Calibri" w:hAnsi="Calibri"/>
          <w:sz w:val="22"/>
        </w:rPr>
        <w:t xml:space="preserve"> Operational on Render cloud with sub-50ms per-hotspot inference latency on commodity CPU.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Verified Integrity:</w:t>
      </w:r>
      <w:r>
        <w:rPr>
          <w:rFonts w:ascii="Calibri" w:hAnsi="Calibri"/>
          <w:sz w:val="22"/>
        </w:rPr>
        <w:t xml:space="preserve"> 6 canonical Indian industrial benchmarks (Jamnagar, HPCL Vizag, Singrauli NTPC, Punjab stubble, Similipal Tiger Reserve, Mundra Port) verified deterministically under SHA-256 integrity suites.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Test Coverage:</w:t>
      </w:r>
      <w:r>
        <w:rPr>
          <w:rFonts w:ascii="Calibri" w:hAnsi="Calibri"/>
          <w:sz w:val="22"/>
        </w:rPr>
        <w:t xml:space="preserve"> 185+ passing automated unit, integration, and security tests across 24 test suites.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Financial Feasibility:</w:t>
      </w:r>
      <w:r>
        <w:rPr>
          <w:rFonts w:ascii="Calibri" w:hAnsi="Calibri"/>
          <w:sz w:val="22"/>
        </w:rPr>
        <w:t xml:space="preserve"> Zero recurring data acquisition costs by leveraging free, open-access public satellite constellations (NASA FIRMS, ESA Copernicus, Open-Meteo). Total annual operational overhead is under ₹54 lakh.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Economic ROI:</w:t>
      </w:r>
      <w:r>
        <w:rPr>
          <w:rFonts w:ascii="Calibri" w:hAnsi="Calibri"/>
          <w:sz w:val="22"/>
        </w:rPr>
        <w:t xml:space="preserve"> With India losing ₹4,920–6,920 crore annually to industrial fire events and false alarm emergency dispatches, PyroSat delivers an estimated ₹900+ crore annual social and economic benefit — representing an ROI exceeding 1,600×.</w:t>
      </w:r>
    </w:p>
    <w:sectPr w:rsidR="00FC693F" w:rsidRPr="0006063C" w:rsidSect="00034616">
      <w:head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PyroSat — SIH 2026 | NTRO (SIH26162) | Team: Thinkers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