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Calibri" w:hAnsi="Calibri"/>
          <w:b/>
          <w:color w:val="0F2C59"/>
          <w:sz w:val="40"/>
        </w:rPr>
        <w:t>PyroSat — SIH 2026 Additional Documents (Docs 1 to 5)</w:t>
      </w:r>
    </w:p>
    <w:p>
      <w:pPr>
        <w:pStyle w:val="Heading3"/>
        <w:keepNext/>
        <w:spacing w:before="200" w:after="60"/>
      </w:pPr>
      <w:r>
        <w:rPr>
          <w:rFonts w:ascii="Calibri" w:hAnsi="Calibri"/>
          <w:b/>
          <w:color w:val="1E3A8A"/>
          <w:sz w:val="24"/>
        </w:rPr>
        <w:t>Problem Statement: SIH26162 | Organization: NTRO | Team: Thinkers</w:t>
      </w:r>
    </w:p>
    <w:p>
      <w:pPr>
        <w:spacing w:before="120" w:after="120"/>
      </w:pPr>
      <w:r>
        <w:rPr>
          <w:color w:val="C8C8C8"/>
        </w:rPr>
        <w:t>―――――――――――――――――――――――――――――――――――――――――――――――――――――――</w:t>
      </w:r>
    </w:p>
    <w:p>
      <w:pPr>
        <w:pStyle w:val="Heading2"/>
        <w:keepNext/>
        <w:spacing w:before="280" w:after="80"/>
      </w:pPr>
      <w:r>
        <w:rPr>
          <w:rFonts w:ascii="Calibri" w:hAnsi="Calibri"/>
          <w:b/>
          <w:color w:val="C2410C"/>
          <w:sz w:val="30"/>
        </w:rPr>
        <w:t>Table of Contents</w:t>
      </w:r>
    </w:p>
    <w:p>
      <w:pPr>
        <w:pStyle w:val="ListNumber"/>
        <w:spacing w:before="20" w:after="40"/>
      </w:pPr>
      <w:r>
        <w:rPr>
          <w:rFonts w:ascii="Calibri" w:hAnsi="Calibri"/>
          <w:color w:val="2563EB"/>
          <w:sz w:val="22"/>
          <w:u w:val="single"/>
        </w:rPr>
        <w:t>DOC 1: Research Paper Draft &amp; Literature Review</w:t>
      </w:r>
    </w:p>
    <w:p>
      <w:pPr>
        <w:pStyle w:val="ListNumber"/>
        <w:spacing w:before="20" w:after="40"/>
      </w:pPr>
      <w:r>
        <w:rPr>
          <w:rFonts w:ascii="Calibri" w:hAnsi="Calibri"/>
          <w:color w:val="2563EB"/>
          <w:sz w:val="22"/>
          <w:u w:val="single"/>
        </w:rPr>
        <w:t>DOC 2: Market Analysis &amp; Industrial Fire Landscape</w:t>
      </w:r>
    </w:p>
    <w:p>
      <w:pPr>
        <w:pStyle w:val="ListNumber"/>
        <w:spacing w:before="20" w:after="40"/>
      </w:pPr>
      <w:r>
        <w:rPr>
          <w:rFonts w:ascii="Calibri" w:hAnsi="Calibri"/>
          <w:color w:val="2563EB"/>
          <w:sz w:val="22"/>
          <w:u w:val="single"/>
        </w:rPr>
        <w:t>DOC 3: Technical Documentation — 5-Tier Architecture &amp; Data Flow</w:t>
      </w:r>
    </w:p>
    <w:p>
      <w:pPr>
        <w:pStyle w:val="ListNumber"/>
        <w:spacing w:before="20" w:after="40"/>
      </w:pPr>
      <w:r>
        <w:rPr>
          <w:rFonts w:ascii="Calibri" w:hAnsi="Calibri"/>
          <w:color w:val="2563EB"/>
          <w:sz w:val="22"/>
          <w:u w:val="single"/>
        </w:rPr>
        <w:t>DOC 4: Prototype Evidence &amp; Deterministic Verification</w:t>
      </w:r>
    </w:p>
    <w:p>
      <w:pPr>
        <w:pStyle w:val="ListNumber"/>
        <w:spacing w:before="20" w:after="40"/>
      </w:pPr>
      <w:r>
        <w:rPr>
          <w:rFonts w:ascii="Calibri" w:hAnsi="Calibri"/>
          <w:color w:val="2563EB"/>
          <w:sz w:val="22"/>
          <w:u w:val="single"/>
        </w:rPr>
        <w:t>DOC 5: Impact Assessment — Cost-Benefit Analysis, ROI &amp; Deployment Roadmap</w:t>
      </w:r>
    </w:p>
    <w:p>
      <w:pPr>
        <w:spacing w:before="120" w:after="120"/>
      </w:pPr>
      <w:r>
        <w:rPr>
          <w:color w:val="C8C8C8"/>
        </w:rPr>
        <w:t>―――――――――――――――――――――――――――――――――――――――――――――――――――――――</w:t>
      </w:r>
    </w:p>
    <w:p>
      <w:pPr>
        <w:pStyle w:val="Heading2"/>
        <w:keepNext/>
        <w:spacing w:before="280" w:after="80"/>
      </w:pPr>
      <w:r>
        <w:rPr>
          <w:rFonts w:ascii="Calibri" w:hAnsi="Calibri"/>
          <w:b/>
          <w:color w:val="C2410C"/>
          <w:sz w:val="30"/>
        </w:rPr>
        <w:t>DOC 1: Research Paper Draft &amp; Literature Review</w:t>
      </w:r>
    </w:p>
    <w:p>
      <w:pPr>
        <w:spacing w:before="40" w:after="80" w:line="276" w:lineRule="auto"/>
      </w:pPr>
      <w:r>
        <w:rPr>
          <w:rFonts w:ascii="Calibri" w:hAnsi="Calibri"/>
          <w:b/>
          <w:sz w:val="22"/>
        </w:rPr>
        <w:t>Title:</w:t>
      </w:r>
      <w:r>
        <w:rPr>
          <w:rFonts w:ascii="Calibri" w:hAnsi="Calibri"/>
          <w:sz w:val="22"/>
        </w:rPr>
        <w:t xml:space="preserve"> Physics-Grounded Sub-Pixel Pyrometry and Explainable Hierarchical Machine Learning for Industrial Thermal Anomaly Classification from NASA FIRMS Satellite Data</w:t>
      </w:r>
    </w:p>
    <w:p>
      <w:pPr>
        <w:pStyle w:val="Heading3"/>
        <w:keepNext/>
        <w:spacing w:before="200" w:after="60"/>
      </w:pPr>
      <w:r>
        <w:rPr>
          <w:rFonts w:ascii="Calibri" w:hAnsi="Calibri"/>
          <w:b/>
          <w:color w:val="1E3A8A"/>
          <w:sz w:val="24"/>
        </w:rPr>
        <w:t>1. Introduction</w:t>
      </w:r>
    </w:p>
    <w:p>
      <w:pPr>
        <w:spacing w:before="40" w:after="80" w:line="276" w:lineRule="auto"/>
      </w:pPr>
      <w:r>
        <w:rPr>
          <w:rFonts w:ascii="Calibri" w:hAnsi="Calibri"/>
          <w:sz w:val="22"/>
        </w:rPr>
        <w:t>The escalating density of industrial activity across the Global South has created a critical demand for reliable satellite-based thermal anomaly intelligence systems. NASA FIRMS provides the world's most comprehensive near-real-time thermal anomaly archive, yet its raw outputs lack the semantic intelligence to distinguish industrial process emissions from genuine disaster events. This review surveys foundational and contemporary literature underpinning PyroSat's technical approach.</w:t>
      </w:r>
    </w:p>
    <w:p>
      <w:pPr>
        <w:pStyle w:val="Heading3"/>
        <w:keepNext/>
        <w:spacing w:before="200" w:after="60"/>
      </w:pPr>
      <w:r>
        <w:rPr>
          <w:rFonts w:ascii="Calibri" w:hAnsi="Calibri"/>
          <w:b/>
          <w:color w:val="1E3A8A"/>
          <w:sz w:val="24"/>
        </w:rPr>
        <w:t>2. Sub-Pixel Fire Radiometry</w:t>
      </w:r>
    </w:p>
    <w:p>
      <w:pPr>
        <w:pStyle w:val="ListBullet"/>
        <w:spacing w:before="20" w:after="40"/>
        <w:ind w:left="360"/>
      </w:pPr>
      <w:r>
        <w:rPr>
          <w:rFonts w:ascii="Calibri" w:hAnsi="Calibri"/>
          <w:b/>
          <w:sz w:val="22"/>
        </w:rPr>
        <w:t>Dozier (1981)</w:t>
      </w:r>
      <w:r>
        <w:rPr>
          <w:rFonts w:ascii="Calibri" w:hAnsi="Calibri"/>
          <w:sz w:val="22"/>
        </w:rPr>
        <w:t xml:space="preserve"> — </w:t>
      </w:r>
      <w:r>
        <w:rPr>
          <w:rFonts w:ascii="Calibri" w:hAnsi="Calibri"/>
          <w:i/>
          <w:sz w:val="22"/>
        </w:rPr>
        <w:t>"A method for satellite identification of surface temperature fields of subpixel resolution"</w:t>
      </w:r>
      <w:r>
        <w:rPr>
          <w:rFonts w:ascii="Calibri" w:hAnsi="Calibri"/>
          <w:sz w:val="22"/>
        </w:rPr>
        <w:t xml:space="preserve"> (Remote Sensing of Environment, 11(4), 221-229): Established the theoretical basis for dual-band thermal inversion from coarse-resolution satellite pixels. By solving simultaneous Planck radiance equations across MWIR and TIR bands, Dozier demonstrated that true sub-pixel flame temperature (T_f) and fractional fire area (p) could be recovered mathematically. This directly underpins PyroSat's Planck inversion engine.</w:t>
      </w:r>
    </w:p>
    <w:p>
      <w:pPr>
        <w:pStyle w:val="ListBullet"/>
        <w:spacing w:before="20" w:after="40"/>
        <w:ind w:left="360"/>
      </w:pPr>
      <w:r>
        <w:rPr>
          <w:rFonts w:ascii="Calibri" w:hAnsi="Calibri"/>
          <w:b/>
          <w:sz w:val="22"/>
        </w:rPr>
        <w:t>Wooster et al. (2003)</w:t>
      </w:r>
      <w:r>
        <w:rPr>
          <w:rFonts w:ascii="Calibri" w:hAnsi="Calibri"/>
          <w:sz w:val="22"/>
        </w:rPr>
        <w:t xml:space="preserve"> — </w:t>
      </w:r>
      <w:r>
        <w:rPr>
          <w:rFonts w:ascii="Calibri" w:hAnsi="Calibri"/>
          <w:i/>
          <w:sz w:val="22"/>
        </w:rPr>
        <w:t>"Retrieval and analysis of combustion parameters from the MIR fire measurements"</w:t>
      </w:r>
      <w:r>
        <w:rPr>
          <w:rFonts w:ascii="Calibri" w:hAnsi="Calibri"/>
          <w:sz w:val="22"/>
        </w:rPr>
        <w:t xml:space="preserve"> (Remote Sensing of Environment, 86(1-2), 83-107): Extended Dozier's framework to the BIRD satellite, validating dual-band inversion for gas flares and industrial combustion with field-calibrated data.</w:t>
      </w:r>
    </w:p>
    <w:p>
      <w:pPr>
        <w:pStyle w:val="ListBullet"/>
        <w:spacing w:before="20" w:after="40"/>
        <w:ind w:left="360"/>
      </w:pPr>
      <w:r>
        <w:rPr>
          <w:rFonts w:ascii="Calibri" w:hAnsi="Calibri"/>
          <w:b/>
          <w:sz w:val="22"/>
        </w:rPr>
        <w:t>Giglio &amp; Kendall (2001)</w:t>
      </w:r>
      <w:r>
        <w:rPr>
          <w:rFonts w:ascii="Calibri" w:hAnsi="Calibri"/>
          <w:sz w:val="22"/>
        </w:rPr>
        <w:t xml:space="preserve"> — </w:t>
      </w:r>
      <w:r>
        <w:rPr>
          <w:rFonts w:ascii="Calibri" w:hAnsi="Calibri"/>
          <w:i/>
          <w:sz w:val="22"/>
        </w:rPr>
        <w:t>"Application of the Dozier retrieval to wildfire characterization"</w:t>
      </w:r>
      <w:r>
        <w:rPr>
          <w:rFonts w:ascii="Calibri" w:hAnsi="Calibri"/>
          <w:sz w:val="22"/>
        </w:rPr>
        <w:t xml:space="preserve"> (Remote Sensing of Environment, 77(2), 173-183): Validated Dozier retrieval applied to MODIS observations, providing accuracy benchmarks for the flame temperature resolution regime relevant to PyroSat's pipeline.</w:t>
      </w:r>
    </w:p>
    <w:p>
      <w:pPr>
        <w:pStyle w:val="ListBullet"/>
        <w:spacing w:before="20" w:after="40"/>
        <w:ind w:left="360"/>
      </w:pPr>
      <w:r>
        <w:rPr>
          <w:rFonts w:ascii="Calibri" w:hAnsi="Calibri"/>
          <w:b/>
          <w:sz w:val="22"/>
        </w:rPr>
        <w:t>Elvidge et al. (2016)</w:t>
      </w:r>
      <w:r>
        <w:rPr>
          <w:rFonts w:ascii="Calibri" w:hAnsi="Calibri"/>
          <w:sz w:val="22"/>
        </w:rPr>
        <w:t xml:space="preserve"> — </w:t>
      </w:r>
      <w:r>
        <w:rPr>
          <w:rFonts w:ascii="Calibri" w:hAnsi="Calibri"/>
          <w:i/>
          <w:sz w:val="22"/>
        </w:rPr>
        <w:t>"Methods for global survey of natural gas flaring from VIIRS data"</w:t>
      </w:r>
      <w:r>
        <w:rPr>
          <w:rFonts w:ascii="Calibri" w:hAnsi="Calibri"/>
          <w:sz w:val="22"/>
        </w:rPr>
        <w:t xml:space="preserve"> (Energies, 9(1), 14): Established gas flaring detection methodology using VIIRS, providing empirical T_f and FRP baselines for petroleum refinery flare stacks that calibrate PyroSat's industrial regime thresholds.</w:t>
      </w:r>
    </w:p>
    <w:p>
      <w:pPr>
        <w:pStyle w:val="Heading3"/>
        <w:keepNext/>
        <w:spacing w:before="200" w:after="60"/>
      </w:pPr>
      <w:r>
        <w:rPr>
          <w:rFonts w:ascii="Calibri" w:hAnsi="Calibri"/>
          <w:b/>
          <w:color w:val="1E3A8A"/>
          <w:sz w:val="24"/>
        </w:rPr>
        <w:t>3. Machine Learning for Fire Classification</w:t>
      </w:r>
    </w:p>
    <w:p>
      <w:pPr>
        <w:pStyle w:val="ListBullet"/>
        <w:spacing w:before="20" w:after="40"/>
        <w:ind w:left="360"/>
      </w:pPr>
      <w:r>
        <w:rPr>
          <w:rFonts w:ascii="Calibri" w:hAnsi="Calibri"/>
          <w:b/>
          <w:sz w:val="22"/>
        </w:rPr>
        <w:t>Schroeder &amp; Giglio (2018)</w:t>
      </w:r>
      <w:r>
        <w:rPr>
          <w:rFonts w:ascii="Calibri" w:hAnsi="Calibri"/>
          <w:sz w:val="22"/>
        </w:rPr>
        <w:t xml:space="preserve"> — </w:t>
      </w:r>
      <w:r>
        <w:rPr>
          <w:rFonts w:ascii="Calibri" w:hAnsi="Calibri"/>
          <w:i/>
          <w:sz w:val="22"/>
        </w:rPr>
        <w:t>"VIIRS 375m active fire detection and characterization algorithm"</w:t>
      </w:r>
      <w:r>
        <w:rPr>
          <w:rFonts w:ascii="Calibri" w:hAnsi="Calibri"/>
          <w:sz w:val="22"/>
        </w:rPr>
        <w:t xml:space="preserve"> (Remote Sensing of Environment, 219, 261-270): Describes the operational NASA FIRMS VIIRS algorithm, establishing the ground-truth data pipeline PyroSat's ingestion engine is built upon.</w:t>
      </w:r>
    </w:p>
    <w:p>
      <w:pPr>
        <w:pStyle w:val="ListBullet"/>
        <w:spacing w:before="20" w:after="40"/>
        <w:ind w:left="360"/>
      </w:pPr>
      <w:r>
        <w:rPr>
          <w:rFonts w:ascii="Calibri" w:hAnsi="Calibri"/>
          <w:b/>
          <w:sz w:val="22"/>
        </w:rPr>
        <w:t>Chen et al. (2016)</w:t>
      </w:r>
      <w:r>
        <w:rPr>
          <w:rFonts w:ascii="Calibri" w:hAnsi="Calibri"/>
          <w:sz w:val="22"/>
        </w:rPr>
        <w:t xml:space="preserve"> — </w:t>
      </w:r>
      <w:r>
        <w:rPr>
          <w:rFonts w:ascii="Calibri" w:hAnsi="Calibri"/>
          <w:i/>
          <w:sz w:val="22"/>
        </w:rPr>
        <w:t>"XGBoost: A scalable tree boosting system"</w:t>
      </w:r>
      <w:r>
        <w:rPr>
          <w:rFonts w:ascii="Calibri" w:hAnsi="Calibri"/>
          <w:sz w:val="22"/>
        </w:rPr>
        <w:t xml:space="preserve"> (ACM KDD): Provides the theoretical foundation for gradient-boosted tree ensemble methods underpinning PyroSat's Stage-1 LightGBM classifier.</w:t>
      </w:r>
    </w:p>
    <w:p>
      <w:pPr>
        <w:pStyle w:val="ListBullet"/>
        <w:spacing w:before="20" w:after="40"/>
        <w:ind w:left="360"/>
      </w:pPr>
      <w:r>
        <w:rPr>
          <w:rFonts w:ascii="Calibri" w:hAnsi="Calibri"/>
          <w:b/>
          <w:sz w:val="22"/>
        </w:rPr>
        <w:t>Ke et al. (2017)</w:t>
      </w:r>
      <w:r>
        <w:rPr>
          <w:rFonts w:ascii="Calibri" w:hAnsi="Calibri"/>
          <w:sz w:val="22"/>
        </w:rPr>
        <w:t xml:space="preserve"> — </w:t>
      </w:r>
      <w:r>
        <w:rPr>
          <w:rFonts w:ascii="Calibri" w:hAnsi="Calibri"/>
          <w:i/>
          <w:sz w:val="22"/>
        </w:rPr>
        <w:t>"LightGBM: A highly efficient gradient boosting decision tree"</w:t>
      </w:r>
      <w:r>
        <w:rPr>
          <w:rFonts w:ascii="Calibri" w:hAnsi="Calibri"/>
          <w:sz w:val="22"/>
        </w:rPr>
        <w:t xml:space="preserve"> (NeurIPS): Demonstrates LightGBM's superior computational efficiency on large, sparse feature matrices — directly applicable to PyroSat's 26-dimensional multi-modal feature vectors at national-scale throughput.</w:t>
      </w:r>
    </w:p>
    <w:p>
      <w:pPr>
        <w:pStyle w:val="Heading3"/>
        <w:keepNext/>
        <w:spacing w:before="200" w:after="60"/>
      </w:pPr>
      <w:r>
        <w:rPr>
          <w:rFonts w:ascii="Calibri" w:hAnsi="Calibri"/>
          <w:b/>
          <w:color w:val="1E3A8A"/>
          <w:sz w:val="24"/>
        </w:rPr>
        <w:t>4. Explainability &amp; XAI in Critical Systems</w:t>
      </w:r>
    </w:p>
    <w:p>
      <w:pPr>
        <w:pStyle w:val="ListBullet"/>
        <w:spacing w:before="20" w:after="40"/>
        <w:ind w:left="360"/>
      </w:pPr>
      <w:r>
        <w:rPr>
          <w:rFonts w:ascii="Calibri" w:hAnsi="Calibri"/>
          <w:b/>
          <w:sz w:val="22"/>
        </w:rPr>
        <w:t>Lundberg &amp; Lee (2017)</w:t>
      </w:r>
      <w:r>
        <w:rPr>
          <w:rFonts w:ascii="Calibri" w:hAnsi="Calibri"/>
          <w:sz w:val="22"/>
        </w:rPr>
        <w:t xml:space="preserve"> — </w:t>
      </w:r>
      <w:r>
        <w:rPr>
          <w:rFonts w:ascii="Calibri" w:hAnsi="Calibri"/>
          <w:i/>
          <w:sz w:val="22"/>
        </w:rPr>
        <w:t>"A unified approach to interpreting model predictions"</w:t>
      </w:r>
      <w:r>
        <w:rPr>
          <w:rFonts w:ascii="Calibri" w:hAnsi="Calibri"/>
          <w:sz w:val="22"/>
        </w:rPr>
        <w:t xml:space="preserve"> (NeurIPS): Introduced SHAP (SHapley Additive exPlanations), establishing the game-theoretic foundation for model-agnostic feature attribution. PyroSat implements the exact TreeSHAP polynomial DP algorithm from this work.</w:t>
      </w:r>
    </w:p>
    <w:p>
      <w:pPr>
        <w:pStyle w:val="ListBullet"/>
        <w:spacing w:before="20" w:after="40"/>
        <w:ind w:left="360"/>
      </w:pPr>
      <w:r>
        <w:rPr>
          <w:rFonts w:ascii="Calibri" w:hAnsi="Calibri"/>
          <w:b/>
          <w:sz w:val="22"/>
        </w:rPr>
        <w:t>Lundberg et al. (2020)</w:t>
      </w:r>
      <w:r>
        <w:rPr>
          <w:rFonts w:ascii="Calibri" w:hAnsi="Calibri"/>
          <w:sz w:val="22"/>
        </w:rPr>
        <w:t xml:space="preserve"> — </w:t>
      </w:r>
      <w:r>
        <w:rPr>
          <w:rFonts w:ascii="Calibri" w:hAnsi="Calibri"/>
          <w:i/>
          <w:sz w:val="22"/>
        </w:rPr>
        <w:t>"From local explanations to global understanding with explainable AI for trees"</w:t>
      </w:r>
      <w:r>
        <w:rPr>
          <w:rFonts w:ascii="Calibri" w:hAnsi="Calibri"/>
          <w:sz w:val="22"/>
        </w:rPr>
        <w:t xml:space="preserve"> (Nature Machine Intelligence, 2, 56-67): Extended TreeSHAP to the exact polynomial O(TLD^2) algorithm guaranteeing additive efficiency (\sum \phi_i + \phi_0 = f(x)) and local fidelity for every prediction.</w:t>
      </w:r>
    </w:p>
    <w:p>
      <w:pPr>
        <w:pStyle w:val="ListBullet"/>
        <w:spacing w:before="20" w:after="40"/>
        <w:ind w:left="360"/>
      </w:pPr>
      <w:r>
        <w:rPr>
          <w:rFonts w:ascii="Calibri" w:hAnsi="Calibri"/>
          <w:b/>
          <w:sz w:val="22"/>
        </w:rPr>
        <w:t>Rudin (2019)</w:t>
      </w:r>
      <w:r>
        <w:rPr>
          <w:rFonts w:ascii="Calibri" w:hAnsi="Calibri"/>
          <w:sz w:val="22"/>
        </w:rPr>
        <w:t xml:space="preserve"> — </w:t>
      </w:r>
      <w:r>
        <w:rPr>
          <w:rFonts w:ascii="Calibri" w:hAnsi="Calibri"/>
          <w:i/>
          <w:sz w:val="22"/>
        </w:rPr>
        <w:t>"Stop explaining black box ML models for high stakes decisions"</w:t>
      </w:r>
      <w:r>
        <w:rPr>
          <w:rFonts w:ascii="Calibri" w:hAnsi="Calibri"/>
          <w:sz w:val="22"/>
        </w:rPr>
        <w:t xml:space="preserve"> (Nature Machine Intelligence, 1, 206-215): Motivates PyroSat's design philosophy: in life-safety emergency response systems, interpretability is not optional. Every alarm must be auditable by a domain scientist.</w:t>
      </w:r>
    </w:p>
    <w:p>
      <w:pPr>
        <w:pStyle w:val="Heading3"/>
        <w:keepNext/>
        <w:spacing w:before="200" w:after="60"/>
      </w:pPr>
      <w:r>
        <w:rPr>
          <w:rFonts w:ascii="Calibri" w:hAnsi="Calibri"/>
          <w:b/>
          <w:color w:val="1E3A8A"/>
          <w:sz w:val="24"/>
        </w:rPr>
        <w:t>5. Atmospheric Dispersion Modeling</w:t>
      </w:r>
    </w:p>
    <w:p>
      <w:pPr>
        <w:pStyle w:val="ListBullet"/>
        <w:spacing w:before="20" w:after="40"/>
        <w:ind w:left="360"/>
      </w:pPr>
      <w:r>
        <w:rPr>
          <w:rFonts w:ascii="Calibri" w:hAnsi="Calibri"/>
          <w:b/>
          <w:sz w:val="22"/>
        </w:rPr>
        <w:t>Briggs (1975)</w:t>
      </w:r>
      <w:r>
        <w:rPr>
          <w:rFonts w:ascii="Calibri" w:hAnsi="Calibri"/>
          <w:sz w:val="22"/>
        </w:rPr>
        <w:t xml:space="preserve"> — </w:t>
      </w:r>
      <w:r>
        <w:rPr>
          <w:rFonts w:ascii="Calibri" w:hAnsi="Calibri"/>
          <w:i/>
          <w:sz w:val="22"/>
        </w:rPr>
        <w:t>"Plume rise predictions"</w:t>
      </w:r>
      <w:r>
        <w:rPr>
          <w:rFonts w:ascii="Calibri" w:hAnsi="Calibri"/>
          <w:sz w:val="22"/>
        </w:rPr>
        <w:t xml:space="preserve"> (AMS Lectures on Air Pollution): Established the Briggs buoyancy flux and plume rise formula PyroSat uses to determine effective plume height from industrial stack emissions during disaster events.</w:t>
      </w:r>
    </w:p>
    <w:p>
      <w:pPr>
        <w:pStyle w:val="ListBullet"/>
        <w:spacing w:before="20" w:after="40"/>
        <w:ind w:left="360"/>
      </w:pPr>
      <w:r>
        <w:rPr>
          <w:rFonts w:ascii="Calibri" w:hAnsi="Calibri"/>
          <w:b/>
          <w:sz w:val="22"/>
        </w:rPr>
        <w:t>Slade (1968)</w:t>
      </w:r>
      <w:r>
        <w:rPr>
          <w:rFonts w:ascii="Calibri" w:hAnsi="Calibri"/>
          <w:sz w:val="22"/>
        </w:rPr>
        <w:t xml:space="preserve"> — </w:t>
      </w:r>
      <w:r>
        <w:rPr>
          <w:rFonts w:ascii="Calibri" w:hAnsi="Calibri"/>
          <w:i/>
          <w:sz w:val="22"/>
        </w:rPr>
        <w:t>"Meteorology and atomic energy"</w:t>
      </w:r>
      <w:r>
        <w:rPr>
          <w:rFonts w:ascii="Calibri" w:hAnsi="Calibri"/>
          <w:sz w:val="22"/>
        </w:rPr>
        <w:t xml:space="preserve"> (U.S. AEC): Provides the Pasquill-Gifford dispersion coefficients (\sigma_y, \sigma_z) used in PyroSat's Gaussian ground-level concentration calculations.</w:t>
      </w:r>
    </w:p>
    <w:p>
      <w:pPr>
        <w:pStyle w:val="ListBullet"/>
        <w:spacing w:before="20" w:after="40"/>
        <w:ind w:left="360"/>
      </w:pPr>
      <w:r>
        <w:rPr>
          <w:rFonts w:ascii="Calibri" w:hAnsi="Calibri"/>
          <w:b/>
          <w:sz w:val="22"/>
        </w:rPr>
        <w:t>CAMEO/NIOSH</w:t>
      </w:r>
      <w:r>
        <w:rPr>
          <w:rFonts w:ascii="Calibri" w:hAnsi="Calibri"/>
          <w:sz w:val="22"/>
        </w:rPr>
        <w:t xml:space="preserve"> — NOAA/EPA Chemical Hazard Information System providing the HazMat chemical database, ERG isolation zones, and AEGL concentration thresholds integrated into PyroSat's automated IAP generator.</w:t>
      </w:r>
    </w:p>
    <w:p>
      <w:pPr>
        <w:pStyle w:val="Heading3"/>
        <w:keepNext/>
        <w:spacing w:before="200" w:after="60"/>
      </w:pPr>
      <w:r>
        <w:rPr>
          <w:rFonts w:ascii="Calibri" w:hAnsi="Calibri"/>
          <w:b/>
          <w:color w:val="1E3A8A"/>
          <w:sz w:val="24"/>
        </w:rPr>
        <w:t>6. Land Use / Land Cover Grounding</w:t>
      </w:r>
    </w:p>
    <w:p>
      <w:pPr>
        <w:pStyle w:val="ListBullet"/>
        <w:spacing w:before="20" w:after="40"/>
        <w:ind w:left="360"/>
      </w:pPr>
      <w:r>
        <w:rPr>
          <w:rFonts w:ascii="Calibri" w:hAnsi="Calibri"/>
          <w:b/>
          <w:sz w:val="22"/>
        </w:rPr>
        <w:t>ESA WorldCover (2021)</w:t>
      </w:r>
      <w:r>
        <w:rPr>
          <w:rFonts w:ascii="Calibri" w:hAnsi="Calibri"/>
          <w:sz w:val="22"/>
        </w:rPr>
        <w:t xml:space="preserve"> — </w:t>
      </w:r>
      <w:r>
        <w:rPr>
          <w:rFonts w:ascii="Calibri" w:hAnsi="Calibri"/>
          <w:i/>
          <w:sz w:val="22"/>
        </w:rPr>
        <w:t>"ESA WorldCover 10m 2020 v100"</w:t>
      </w:r>
      <w:r>
        <w:rPr>
          <w:rFonts w:ascii="Calibri" w:hAnsi="Calibri"/>
          <w:sz w:val="22"/>
        </w:rPr>
        <w:t xml:space="preserve"> (Zanaga et al., Zenodo): 10-meter global land cover product. PyroSat uses WorldCover to verify whether a thermal anomaly's surface is Built-up (Class 50), Cropland (Class 40), or Tree Cover (Class 10).</w:t>
      </w:r>
    </w:p>
    <w:p>
      <w:pPr>
        <w:pStyle w:val="ListBullet"/>
        <w:spacing w:before="20" w:after="40"/>
        <w:ind w:left="360"/>
      </w:pPr>
      <w:r>
        <w:rPr>
          <w:rFonts w:ascii="Calibri" w:hAnsi="Calibri"/>
          <w:b/>
          <w:sz w:val="22"/>
        </w:rPr>
        <w:t>Drusch et al. (2012)</w:t>
      </w:r>
      <w:r>
        <w:rPr>
          <w:rFonts w:ascii="Calibri" w:hAnsi="Calibri"/>
          <w:sz w:val="22"/>
        </w:rPr>
        <w:t xml:space="preserve"> — </w:t>
      </w:r>
      <w:r>
        <w:rPr>
          <w:rFonts w:ascii="Calibri" w:hAnsi="Calibri"/>
          <w:i/>
          <w:sz w:val="22"/>
        </w:rPr>
        <w:t>"Sentinel-2: ESA's optical high-resolution mission for GMES operational services"</w:t>
      </w:r>
      <w:r>
        <w:rPr>
          <w:rFonts w:ascii="Calibri" w:hAnsi="Calibri"/>
          <w:sz w:val="22"/>
        </w:rPr>
        <w:t xml:space="preserve"> (Remote Sensing of Environment, 120, 25-36): Describes the Sentinel-2 mission providing PyroSat's surface reflectance inputs (NDVI, NBR, SWIR ratios).</w:t>
      </w:r>
    </w:p>
    <w:p>
      <w:pPr>
        <w:pStyle w:val="Heading3"/>
        <w:keepNext/>
        <w:spacing w:before="200" w:after="60"/>
      </w:pPr>
      <w:r>
        <w:rPr>
          <w:rFonts w:ascii="Calibri" w:hAnsi="Calibri"/>
          <w:b/>
          <w:color w:val="1E3A8A"/>
          <w:sz w:val="24"/>
        </w:rPr>
        <w:t>7. Literature Gap Addressed</w:t>
      </w:r>
    </w:p>
    <w:p>
      <w:pPr>
        <w:spacing w:before="40" w:after="80" w:line="276" w:lineRule="auto"/>
      </w:pPr>
      <w:r>
        <w:rPr>
          <w:rFonts w:ascii="Calibri" w:hAnsi="Calibri"/>
          <w:sz w:val="22"/>
        </w:rPr>
        <w:t xml:space="preserve">Existing literature validates sub-pixel pyrometry (Dozier), LightGBM, exact TreeSHAP, Gaussian plume modeling, and EO surface grounding individually. PyroSat's contribution is the </w:t>
      </w:r>
      <w:r>
        <w:rPr>
          <w:rFonts w:ascii="Calibri" w:hAnsi="Calibri"/>
          <w:b/>
          <w:sz w:val="22"/>
        </w:rPr>
        <w:t>FIRST integrated operational platform</w:t>
      </w:r>
      <w:r>
        <w:rPr>
          <w:rFonts w:ascii="Calibri" w:hAnsi="Calibri"/>
          <w:sz w:val="22"/>
        </w:rPr>
        <w:t xml:space="preserve"> chaining all of these into a cohesive, adversarially verified, nationally deployable pipeline — with SHA-256 deterministic benchmark verification against 6 canonical Indian industrial sites.</w:t>
      </w:r>
    </w:p>
    <w:p>
      <w:pPr>
        <w:spacing w:before="120" w:after="120"/>
      </w:pPr>
      <w:r>
        <w:rPr>
          <w:color w:val="C8C8C8"/>
        </w:rPr>
        <w:t>―――――――――――――――――――――――――――――――――――――――――――――――――――――――</w:t>
      </w:r>
    </w:p>
    <w:p>
      <w:pPr>
        <w:pStyle w:val="Heading2"/>
        <w:keepNext/>
        <w:spacing w:before="280" w:after="80"/>
      </w:pPr>
      <w:r>
        <w:rPr>
          <w:rFonts w:ascii="Calibri" w:hAnsi="Calibri"/>
          <w:b/>
          <w:color w:val="C2410C"/>
          <w:sz w:val="30"/>
        </w:rPr>
        <w:t>DOC 2: Market Analysis &amp; Industrial Fire Landscape</w:t>
      </w:r>
    </w:p>
    <w:p>
      <w:pPr>
        <w:pStyle w:val="Heading3"/>
        <w:keepNext/>
        <w:spacing w:before="200" w:after="60"/>
      </w:pPr>
      <w:r>
        <w:rPr>
          <w:rFonts w:ascii="Calibri" w:hAnsi="Calibri"/>
          <w:b/>
          <w:color w:val="1E3A8A"/>
          <w:sz w:val="24"/>
        </w:rPr>
        <w:t>2.1 Problem Scale — Indian Industrial Fire Statistics</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Metric</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Value</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Source</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Annual industrial fires reported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~22,000+ incidents/year</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NCRB Fire Statistics 2022</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Annual economic loss from industrial fires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₹3,500–5,200 crore</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MoSPI Economic Survey</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Chemical/HazMat incidents per year</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~450 major events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NDMA Annual Report</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False alarm emergency mobilizations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~68% of all industrial alerts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NDRF Operational Review</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Satellite hotspots over India daily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800–2,500 detections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NASA FIRMS Archive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Manual analyst time per hotspot</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45–90 minutes</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Industry estimate</w:t>
            </w:r>
          </w:p>
        </w:tc>
      </w:tr>
    </w:tbl>
    <w:p>
      <w:pPr>
        <w:pStyle w:val="Heading3"/>
        <w:keepNext/>
        <w:spacing w:before="200" w:after="60"/>
      </w:pPr>
      <w:r>
        <w:rPr>
          <w:rFonts w:ascii="Calibri" w:hAnsi="Calibri"/>
          <w:b/>
          <w:color w:val="1E3A8A"/>
          <w:sz w:val="24"/>
        </w:rPr>
        <w:t>2.2 Target User Segments</w:t>
      </w:r>
    </w:p>
    <w:p>
      <w:pPr>
        <w:pStyle w:val="ListNumber"/>
        <w:spacing w:before="20" w:after="40"/>
      </w:pPr>
      <w:r>
        <w:rPr>
          <w:rFonts w:ascii="Calibri" w:hAnsi="Calibri"/>
          <w:b/>
          <w:sz w:val="22"/>
        </w:rPr>
        <w:t>Segment 1 — Government Disaster Response (Primary):</w:t>
      </w:r>
      <w:r>
        <w:rPr>
          <w:rFonts w:ascii="Calibri" w:hAnsi="Calibri"/>
          <w:sz w:val="22"/>
        </w:rPr>
        <w:t xml:space="preserve"> NDMA, 36 SDMAs, 16 NDRF battalions. Pain point: Zero real-time intelligence distinguishing industrial disasters from false alarms. PyroSat value: Sub-60-second disaster classification + automated IAP dispatch.</w:t>
      </w:r>
    </w:p>
    <w:p>
      <w:pPr>
        <w:pStyle w:val="ListNumber"/>
        <w:spacing w:before="20" w:after="40"/>
      </w:pPr>
      <w:r>
        <w:rPr>
          <w:rFonts w:ascii="Calibri" w:hAnsi="Calibri"/>
          <w:b/>
          <w:sz w:val="22"/>
        </w:rPr>
        <w:t>Segment 2 — Environmental Regulators:</w:t>
      </w:r>
      <w:r>
        <w:rPr>
          <w:rFonts w:ascii="Calibri" w:hAnsi="Calibri"/>
          <w:sz w:val="22"/>
        </w:rPr>
        <w:t xml:space="preserve"> CPCB, 36 SPCBs, PESO. Pain point: Reliance on periodic manual inspections. PyroSat value: Continuous 24/7 satellite-based illegal flaring detection with legally defensible TreeSHAP evidence chains.</w:t>
      </w:r>
    </w:p>
    <w:p>
      <w:pPr>
        <w:pStyle w:val="ListNumber"/>
        <w:spacing w:before="20" w:after="40"/>
      </w:pPr>
      <w:r>
        <w:rPr>
          <w:rFonts w:ascii="Calibri" w:hAnsi="Calibri"/>
          <w:b/>
          <w:sz w:val="22"/>
        </w:rPr>
        <w:t>Segment 3 — Industrial Facility Operators:</w:t>
      </w:r>
      <w:r>
        <w:rPr>
          <w:rFonts w:ascii="Calibri" w:hAnsi="Calibri"/>
          <w:sz w:val="22"/>
        </w:rPr>
        <w:t xml:space="preserve"> Indian Oil, HPCL, BPCL, ONGC, Tata Steel, NTPC. Pain point: Internal perimeter fire detectors have limited spatial visibility. PyroSat value: Early warning of flare blowout before structural containment failure.</w:t>
      </w:r>
    </w:p>
    <w:p>
      <w:pPr>
        <w:pStyle w:val="ListNumber"/>
        <w:spacing w:before="20" w:after="40"/>
      </w:pPr>
      <w:r>
        <w:rPr>
          <w:rFonts w:ascii="Calibri" w:hAnsi="Calibri"/>
          <w:b/>
          <w:sz w:val="22"/>
        </w:rPr>
        <w:t>Segment 4 — Forest &amp; Wilderness Services:</w:t>
      </w:r>
      <w:r>
        <w:rPr>
          <w:rFonts w:ascii="Calibri" w:hAnsi="Calibri"/>
          <w:sz w:val="22"/>
        </w:rPr>
        <w:t xml:space="preserve"> Forest Survey of India, NTCA (54 tiger reserves). Pain point: Industrial false alarms consume forest protection resources. PyroSat value: Accurate discrimination with geodesic buffer engine.</w:t>
      </w:r>
    </w:p>
    <w:p>
      <w:pPr>
        <w:pStyle w:val="Heading3"/>
        <w:keepNext/>
        <w:spacing w:before="200" w:after="60"/>
      </w:pPr>
      <w:r>
        <w:rPr>
          <w:rFonts w:ascii="Calibri" w:hAnsi="Calibri"/>
          <w:b/>
          <w:color w:val="1E3A8A"/>
          <w:sz w:val="24"/>
        </w:rPr>
        <w:t>2.3 Competitive Landscape</w:t>
      </w:r>
    </w:p>
    <w:tbl>
      <w:tblPr>
        <w:tblW w:type="auto" w:w="0"/>
        <w:jc w:val="center"/>
        <w:tblLayout w:type="autofit"/>
        <w:tblLook w:firstColumn="1" w:firstRow="1" w:lastColumn="0" w:lastRow="0" w:noHBand="0" w:noVBand="1" w:val="04A0"/>
      </w:tblPr>
      <w:tblGrid>
        <w:gridCol w:w="3216"/>
        <w:gridCol w:w="3216"/>
        <w:gridCol w:w="3216"/>
      </w:tblGrid>
      <w:tr>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Solution</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Approach</w:t>
            </w:r>
          </w:p>
        </w:tc>
        <w:tc>
          <w:tcPr>
            <w:tcW w:type="dxa" w:w="3216"/>
            <w:vAlign w:val="center"/>
            <w:tcMar>
              <w:top w:w="120" w:type="dxa"/>
              <w:bottom w:w="120" w:type="dxa"/>
              <w:left w:w="140" w:type="dxa"/>
              <w:right w:w="140" w:type="dxa"/>
            </w:tcMar>
            <w:shd w:fill="1E3A8A"/>
          </w:tcPr>
          <w:p>
            <w:pPr>
              <w:spacing w:before="40" w:after="40"/>
            </w:pPr>
            <w:r>
              <w:rPr>
                <w:rFonts w:ascii="Calibri" w:hAnsi="Calibri"/>
                <w:b/>
                <w:color w:val="FFFFFF"/>
                <w:sz w:val="22"/>
              </w:rPr>
              <w:t>Limitation vs PyroSat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NASA FIRMS Raw Feed</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Raw thermal pixel detection only</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No classification, no emergency response</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Global Forest Watch</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Forest fire detection</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No industrial classification, no HazMat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Kayrros Methane Watch</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Methane satellite monitoring</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Commercial only, no fire classification</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sz w:val="22"/>
              </w:rPr>
              <w:t>SpaceSense / Satellogic</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Custom commercial satellite tasking</w:t>
            </w:r>
          </w:p>
        </w:tc>
        <w:tc>
          <w:tcPr>
            <w:tcW w:type="dxa" w:w="3216"/>
            <w:vAlign w:val="center"/>
            <w:tcMar>
              <w:top w:w="120" w:type="dxa"/>
              <w:bottom w:w="120" w:type="dxa"/>
              <w:left w:w="140" w:type="dxa"/>
              <w:right w:w="140" w:type="dxa"/>
            </w:tcMar>
            <w:shd w:fill="FFFFFF"/>
          </w:tcPr>
          <w:p>
            <w:pPr>
              <w:spacing w:before="40" w:after="40"/>
            </w:pPr>
            <w:r>
              <w:rPr>
                <w:rFonts w:ascii="Calibri" w:hAnsi="Calibri"/>
                <w:sz w:val="22"/>
              </w:rPr>
              <w:t>10k–100k/tasking, not real-time NRT</w:t>
            </w:r>
          </w:p>
        </w:tc>
      </w:tr>
      <w:tr>
        <w:tc>
          <w:tcPr>
            <w:tcW w:type="dxa" w:w="3216"/>
            <w:vAlign w:val="center"/>
            <w:tcMar>
              <w:top w:w="120" w:type="dxa"/>
              <w:bottom w:w="120" w:type="dxa"/>
              <w:left w:w="140" w:type="dxa"/>
              <w:right w:w="140" w:type="dxa"/>
            </w:tcMar>
            <w:shd w:fill="F8FAFC"/>
          </w:tcPr>
          <w:p>
            <w:pPr>
              <w:spacing w:before="40" w:after="40"/>
            </w:pPr>
            <w:r>
              <w:rPr>
                <w:rFonts w:ascii="Calibri" w:hAnsi="Calibri"/>
                <w:sz w:val="22"/>
              </w:rPr>
              <w:t>Standard SIH Submissions</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Proximity rule-based ML on synthetic data</w:t>
            </w:r>
          </w:p>
        </w:tc>
        <w:tc>
          <w:tcPr>
            <w:tcW w:type="dxa" w:w="3216"/>
            <w:vAlign w:val="center"/>
            <w:tcMar>
              <w:top w:w="120" w:type="dxa"/>
              <w:bottom w:w="120" w:type="dxa"/>
              <w:left w:w="140" w:type="dxa"/>
              <w:right w:w="140" w:type="dxa"/>
            </w:tcMar>
            <w:shd w:fill="F8FAFC"/>
          </w:tcPr>
          <w:p>
            <w:pPr>
              <w:spacing w:before="40" w:after="40"/>
            </w:pPr>
            <w:r>
              <w:rPr>
                <w:rFonts w:ascii="Calibri" w:hAnsi="Calibri"/>
                <w:sz w:val="22"/>
              </w:rPr>
              <w:t>Circular ground-truth trap; fails in production</w:t>
            </w:r>
          </w:p>
        </w:tc>
      </w:tr>
      <w:tr>
        <w:tc>
          <w:tcPr>
            <w:tcW w:type="dxa" w:w="3216"/>
            <w:vAlign w:val="center"/>
            <w:tcMar>
              <w:top w:w="120" w:type="dxa"/>
              <w:bottom w:w="120" w:type="dxa"/>
              <w:left w:w="140" w:type="dxa"/>
              <w:right w:w="140" w:type="dxa"/>
            </w:tcMar>
            <w:shd w:fill="FFFFFF"/>
          </w:tcPr>
          <w:p>
            <w:pPr>
              <w:spacing w:before="40" w:after="40"/>
            </w:pPr>
            <w:r>
              <w:rPr>
                <w:rFonts w:ascii="Calibri" w:hAnsi="Calibri"/>
                <w:b/>
                <w:sz w:val="22"/>
              </w:rPr>
              <w:t>PyroSat</w:t>
            </w:r>
          </w:p>
        </w:tc>
        <w:tc>
          <w:tcPr>
            <w:tcW w:type="dxa" w:w="3216"/>
            <w:vAlign w:val="center"/>
            <w:tcMar>
              <w:top w:w="120" w:type="dxa"/>
              <w:bottom w:w="120" w:type="dxa"/>
              <w:left w:w="140" w:type="dxa"/>
              <w:right w:w="140" w:type="dxa"/>
            </w:tcMar>
            <w:shd w:fill="FFFFFF"/>
          </w:tcPr>
          <w:p>
            <w:pPr>
              <w:spacing w:before="40" w:after="40"/>
            </w:pPr>
            <w:r>
              <w:rPr>
                <w:rFonts w:ascii="Calibri" w:hAnsi="Calibri"/>
                <w:b/>
                <w:sz w:val="22"/>
              </w:rPr>
              <w:t>Physics + Real EO + Hierarchical ML + TreeSHAP + 5-Gate Skeptic AI</w:t>
            </w:r>
          </w:p>
        </w:tc>
        <w:tc>
          <w:tcPr>
            <w:tcW w:type="dxa" w:w="3216"/>
            <w:vAlign w:val="center"/>
            <w:tcMar>
              <w:top w:w="120" w:type="dxa"/>
              <w:bottom w:w="120" w:type="dxa"/>
              <w:left w:w="140" w:type="dxa"/>
              <w:right w:w="140" w:type="dxa"/>
            </w:tcMar>
            <w:shd w:fill="FFFFFF"/>
          </w:tcPr>
          <w:p>
            <w:pPr>
              <w:spacing w:before="40" w:after="40"/>
            </w:pPr>
            <w:r>
              <w:rPr>
                <w:rFonts w:ascii="Calibri" w:hAnsi="Calibri"/>
                <w:b/>
                <w:sz w:val="22"/>
              </w:rPr>
              <w:t>Open data, zero cost, sub-50ms, fully explainable</w:t>
            </w:r>
          </w:p>
        </w:tc>
      </w:tr>
    </w:tbl>
    <w:p>
      <w:pPr>
        <w:spacing w:before="120" w:after="120"/>
      </w:pPr>
      <w:r>
        <w:rPr>
          <w:color w:val="C8C8C8"/>
        </w:rPr>
        <w:t>―――――――――――――――――――――――――――――――――――――――――――――――――――――――</w:t>
      </w:r>
    </w:p>
    <w:p>
      <w:pPr>
        <w:pStyle w:val="Heading2"/>
        <w:keepNext/>
        <w:spacing w:before="280" w:after="80"/>
      </w:pPr>
      <w:r>
        <w:rPr>
          <w:rFonts w:ascii="Calibri" w:hAnsi="Calibri"/>
          <w:b/>
          <w:color w:val="C2410C"/>
          <w:sz w:val="30"/>
        </w:rPr>
        <w:t>DOC 3: Technical Documentation — 5-Tier Architecture &amp; Data Flow</w:t>
      </w:r>
    </w:p>
    <w:p>
      <w:pPr>
        <w:pStyle w:val="Heading3"/>
        <w:keepNext/>
        <w:spacing w:before="200" w:after="60"/>
      </w:pPr>
      <w:r>
        <w:rPr>
          <w:rFonts w:ascii="Calibri" w:hAnsi="Calibri"/>
          <w:b/>
          <w:color w:val="1E3A8A"/>
          <w:sz w:val="24"/>
        </w:rPr>
        <w:t>3.1 Full System Architecture (5-Tier)</w:t>
      </w:r>
    </w:p>
    <w:p>
      <w:pPr>
        <w:spacing w:before="80" w:after="120"/>
        <w:ind w:left="432"/>
      </w:pPr>
      <w:r>
        <w:rPr>
          <w:rFonts w:ascii="Consolas" w:hAnsi="Consolas"/>
          <w:color w:val="282828"/>
          <w:sz w:val="18"/>
        </w:rPr>
        <w:t>TIER 1 — SATELLITE DATA INGESTION</w:t>
        <w:br/>
        <w:t xml:space="preserve">  NASA FIRMS NRT | ESA WorldCover 10m | Sentinel-2 L2A | Open-Meteo</w:t>
        <w:br/>
        <w:t xml:space="preserve">  VIIRS 375m     | LULC Raster        | NDVI/NBR/SWIR  | Wind/Temp</w:t>
        <w:br/>
        <w:t xml:space="preserve">  MODIS 1km      | Built-up/Crop/Forest| Bottom-of-Atm  | Stability</w:t>
        <w:br/>
        <w:t xml:space="preserve">         |</w:t>
        <w:br/>
        <w:t xml:space="preserve">         v</w:t>
        <w:br/>
        <w:t>TIER 2 — PHYSICS &amp; FEATURE EXTRACTION</w:t>
        <w:br/>
        <w:t xml:space="preserve">  Planck/Dozier Dual-Band Inversion</w:t>
        <w:br/>
        <w:t xml:space="preserve">  --&gt; Resolves: Tf (K), Af (m2), Radiant Heat Flux (kW/m2)</w:t>
        <w:br/>
        <w:br/>
        <w:t xml:space="preserve">  BallTree Spatial Index (O(log N) Haversine)</w:t>
        <w:br/>
        <w:t xml:space="preserve">  --&gt; Distances to: Refineries, Flare Stacks, Steel Plants (GEM+GGFR)</w:t>
        <w:br/>
        <w:br/>
        <w:t xml:space="preserve">  Historical 90-Day Persistence Engine</w:t>
        <w:br/>
        <w:t xml:space="preserve">  --&gt; Recurrence freq, FRP z-score (mu, sigma), Sample N</w:t>
        <w:br/>
        <w:br/>
        <w:t xml:space="preserve">  Surface Reflectance: LULC class, NDVI, NBR, SWIR ratios</w:t>
        <w:br/>
        <w:t xml:space="preserve">  --&gt; OUTPUT: 26-Dimensional Multi-Modal Feature Vector</w:t>
        <w:br/>
        <w:t xml:space="preserve">         |</w:t>
        <w:br/>
        <w:t xml:space="preserve">         v</w:t>
        <w:br/>
        <w:t>TIER 3 — HIERARCHICAL AI ENGINE</w:t>
        <w:br/>
        <w:t xml:space="preserve">  STAGE 1: LightGBM Binary Classifier</w:t>
        <w:br/>
        <w:t xml:space="preserve">  --&gt; INDUSTRIAL  vs  NON-INDUSTRIAL</w:t>
        <w:br/>
        <w:t xml:space="preserve">           |                    |</w:t>
        <w:br/>
        <w:t xml:space="preserve">           v                    v</w:t>
        <w:br/>
        <w:t xml:space="preserve">  STAGE 2A (Industrial):    STAGE 2B (Non-Industrial):</w:t>
        <w:br/>
        <w:t xml:space="preserve">  - INDUSTRIAL_FLARE        - FOREST_WILDFIRE</w:t>
        <w:br/>
        <w:t xml:space="preserve">  - INDUSTRIAL_DISASTER     - AGRICULTURAL_BURNING</w:t>
        <w:br/>
        <w:t xml:space="preserve">  - INDUSTRIAL_PROCESS</w:t>
        <w:br/>
        <w:br/>
        <w:t xml:space="preserve">  Exact Lundberg TreeSHAP DP</w:t>
        <w:br/>
        <w:t xml:space="preserve">  --&gt; Local Shapley values phi_i per feature</w:t>
        <w:br/>
        <w:t xml:space="preserve">  --&gt; Additive efficiency: sum(phi_i) + phi_0 = f(x)</w:t>
        <w:br/>
        <w:br/>
        <w:t xml:space="preserve">  5-GATE ADVERSARIAL SKEPTIC AI FALSIFICATION</w:t>
        <w:br/>
        <w:t xml:space="preserve">  Gate 1: Solar Glint Filter (daytime specular rejection)</w:t>
        <w:br/>
        <w:t xml:space="preserve">  Gate 2: Planck Combustion Gate (Tf &lt; 650K -&gt; DISCARD)</w:t>
        <w:br/>
        <w:t xml:space="preserve">  Gate 3: Canopy Fuel Gate (NDVI &gt; 0.55 -&gt; BIOMASS, not INDUSTRIAL)</w:t>
        <w:br/>
        <w:t xml:space="preserve">  Gate 4: Permitted Baseline Gate (FRP within mu+-2sigma -&gt; SUPPRESS)</w:t>
        <w:br/>
        <w:t xml:space="preserve">  Gate 5: Transient Glitch Gate (single-pixel noise -&gt; DISCARD)</w:t>
        <w:br/>
        <w:t xml:space="preserve">         |</w:t>
        <w:br/>
        <w:t xml:space="preserve">         v</w:t>
        <w:br/>
        <w:t>TIER 4 — EMERGENCY RESPONSE ENGINE (INDUSTRIAL_DISASTER only)</w:t>
        <w:br/>
        <w:t xml:space="preserve">  Briggs Buoyancy Plume Rise + Pasquill-Gifford Gaussian Plume</w:t>
        <w:br/>
        <w:t xml:space="preserve">  + Live Wind Vector --&gt; AEGL-1/2/3 Ground-Level Isopleths</w:t>
        <w:br/>
        <w:t xml:space="preserve">  CAMEO/NIOSH HazMat DB + ERG Isolation Distances</w:t>
        <w:br/>
        <w:t xml:space="preserve">  WorldPop Population Exposure + Evacuation Corridor Geometry</w:t>
        <w:br/>
        <w:t xml:space="preserve">  SGP4 Orbital Predictor + TLE Overpass Countdown</w:t>
        <w:br/>
        <w:t xml:space="preserve">  PDF IAP Generator (PDFKit) + Automated Responder Dispatch</w:t>
        <w:br/>
        <w:t xml:space="preserve">         |</w:t>
        <w:br/>
        <w:t xml:space="preserve">         v</w:t>
        <w:br/>
        <w:t>TIER 5 — 3D COMMAND COCKPIT &amp; DELIVERY</w:t>
        <w:br/>
        <w:t xml:space="preserve">  CesiumJS WebGL 3D Globe        Node.js ESM API Gateway</w:t>
        <w:br/>
        <w:t xml:space="preserve">  Volumetric Fire/Smoke          15 Specialized Route Handlers</w:t>
        <w:br/>
        <w:t xml:space="preserve">  Particle Systems               Rate Limiting + Auth + Metrics</w:t>
        <w:br/>
        <w:t xml:space="preserve">  AGNI Voice AI Assistant        Server-Sent Events (SSE)</w:t>
        <w:br/>
        <w:t xml:space="preserve">  Split-Flap Telemetry HUD       Satellite Revisit Countdown Clock</w:t>
      </w:r>
    </w:p>
    <w:p>
      <w:pPr>
        <w:pStyle w:val="Heading3"/>
        <w:keepNext/>
        <w:spacing w:before="200" w:after="60"/>
      </w:pPr>
      <w:r>
        <w:rPr>
          <w:rFonts w:ascii="Calibri" w:hAnsi="Calibri"/>
          <w:b/>
          <w:color w:val="1E3A8A"/>
          <w:sz w:val="24"/>
        </w:rPr>
        <w:t>3.2 Step-by-Step Data Flow</w:t>
      </w:r>
    </w:p>
    <w:p>
      <w:pPr>
        <w:pStyle w:val="ListNumber"/>
        <w:spacing w:before="20" w:after="40"/>
      </w:pPr>
      <w:r>
        <w:rPr>
          <w:rFonts w:ascii="Calibri" w:hAnsi="Calibri"/>
          <w:b/>
          <w:sz w:val="22"/>
        </w:rPr>
        <w:t>Raw Telemetry Ingest:</w:t>
      </w:r>
      <w:r>
        <w:rPr>
          <w:rFonts w:ascii="Calibri" w:hAnsi="Calibri"/>
          <w:sz w:val="22"/>
        </w:rPr>
        <w:t xml:space="preserve"> NASA FIRMS VIIRS API → </w:t>
      </w:r>
      <w:r>
        <w:rPr>
          <w:rFonts w:ascii="Consolas" w:hAnsi="Consolas"/>
          <w:color w:val="B42828"/>
          <w:sz w:val="19"/>
        </w:rPr>
        <w:t>FirmsIngestor.js</w:t>
      </w:r>
      <w:r>
        <w:rPr>
          <w:rFonts w:ascii="Calibri" w:hAnsi="Calibri"/>
          <w:sz w:val="22"/>
        </w:rPr>
        <w:t>. Quality filter: confidence \ge 30\%, valid India bounding box.</w:t>
      </w:r>
    </w:p>
    <w:p>
      <w:pPr>
        <w:pStyle w:val="ListNumber"/>
        <w:spacing w:before="20" w:after="40"/>
      </w:pPr>
      <w:r>
        <w:rPr>
          <w:rFonts w:ascii="Calibri" w:hAnsi="Calibri"/>
          <w:b/>
          <w:sz w:val="22"/>
        </w:rPr>
        <w:t>Dual-Band Planck Inversion:</w:t>
      </w:r>
      <w:r>
        <w:rPr>
          <w:rFonts w:ascii="Calibri" w:hAnsi="Calibri"/>
          <w:sz w:val="22"/>
        </w:rPr>
        <w:t xml:space="preserve"> </w:t>
      </w:r>
      <w:r>
        <w:rPr>
          <w:rFonts w:ascii="Consolas" w:hAnsi="Consolas"/>
          <w:color w:val="B42828"/>
          <w:sz w:val="19"/>
        </w:rPr>
        <w:t>planck_pyrometry.py</w:t>
      </w:r>
      <w:r>
        <w:rPr>
          <w:rFonts w:ascii="Calibri" w:hAnsi="Calibri"/>
          <w:sz w:val="22"/>
        </w:rPr>
        <w:t xml:space="preserve"> (SciPy fsolve). Input: </w:t>
      </w:r>
      <w:r>
        <w:rPr>
          <w:rFonts w:ascii="Consolas" w:hAnsi="Consolas"/>
          <w:color w:val="B42828"/>
          <w:sz w:val="19"/>
        </w:rPr>
        <w:t>bright_ti4</w:t>
      </w:r>
      <w:r>
        <w:rPr>
          <w:rFonts w:ascii="Calibri" w:hAnsi="Calibri"/>
          <w:sz w:val="22"/>
        </w:rPr>
        <w:t xml:space="preserve"> (MWIR K), </w:t>
      </w:r>
      <w:r>
        <w:rPr>
          <w:rFonts w:ascii="Consolas" w:hAnsi="Consolas"/>
          <w:color w:val="B42828"/>
          <w:sz w:val="19"/>
        </w:rPr>
        <w:t>bright_ti5</w:t>
      </w:r>
      <w:r>
        <w:rPr>
          <w:rFonts w:ascii="Calibri" w:hAnsi="Calibri"/>
          <w:sz w:val="22"/>
        </w:rPr>
        <w:t xml:space="preserve"> (LWIR K), FRP (MW). Resolves true flame temperature T_f (K) and fractional combustion area A_f (m²).</w:t>
      </w:r>
    </w:p>
    <w:p>
      <w:pPr>
        <w:pStyle w:val="ListNumber"/>
        <w:spacing w:before="20" w:after="40"/>
      </w:pPr>
      <w:r>
        <w:rPr>
          <w:rFonts w:ascii="Calibri" w:hAnsi="Calibri"/>
          <w:b/>
          <w:sz w:val="22"/>
        </w:rPr>
        <w:t>26-D Feature Vector Assembly:</w:t>
      </w:r>
      <w:r>
        <w:rPr>
          <w:rFonts w:ascii="Calibri" w:hAnsi="Calibri"/>
          <w:sz w:val="22"/>
        </w:rPr>
        <w:t xml:space="preserve"> </w:t>
      </w:r>
      <w:r>
        <w:rPr>
          <w:rFonts w:ascii="Consolas" w:hAnsi="Consolas"/>
          <w:color w:val="B42828"/>
          <w:sz w:val="19"/>
        </w:rPr>
        <w:t>feature_extractor.py</w:t>
      </w:r>
      <w:r>
        <w:rPr>
          <w:rFonts w:ascii="Calibri" w:hAnsi="Calibri"/>
          <w:sz w:val="22"/>
        </w:rPr>
        <w:t>. Radiometric physics + O(\log N) BallTree proximity to industrial registries + 90-day persistence metrics + ESA WorldCover LULC + Sentinel-2 NDVI/NBR.</w:t>
      </w:r>
    </w:p>
    <w:p>
      <w:pPr>
        <w:pStyle w:val="ListNumber"/>
        <w:spacing w:before="20" w:after="40"/>
      </w:pPr>
      <w:r>
        <w:rPr>
          <w:rFonts w:ascii="Calibri" w:hAnsi="Calibri"/>
          <w:b/>
          <w:sz w:val="22"/>
        </w:rPr>
        <w:t>Hierarchical ML Inference:</w:t>
      </w:r>
      <w:r>
        <w:rPr>
          <w:rFonts w:ascii="Calibri" w:hAnsi="Calibri"/>
          <w:sz w:val="22"/>
        </w:rPr>
        <w:t xml:space="preserve"> </w:t>
      </w:r>
      <w:r>
        <w:rPr>
          <w:rFonts w:ascii="Consolas" w:hAnsi="Consolas"/>
          <w:color w:val="B42828"/>
          <w:sz w:val="19"/>
        </w:rPr>
        <w:t>ml_inference_worker.py</w:t>
      </w:r>
      <w:r>
        <w:rPr>
          <w:rFonts w:ascii="Calibri" w:hAnsi="Calibri"/>
          <w:sz w:val="22"/>
        </w:rPr>
        <w:t xml:space="preserve"> (persistent Python stdio worker with PING/PONG heartbeats). Stage 1: LightGBM (Industrial vs Non-Industrial). Stage 2: Subtype classification. TreeSHAP attribution computed for all 26 features.</w:t>
      </w:r>
    </w:p>
    <w:p>
      <w:pPr>
        <w:pStyle w:val="ListNumber"/>
        <w:spacing w:before="20" w:after="40"/>
      </w:pPr>
      <w:r>
        <w:rPr>
          <w:rFonts w:ascii="Calibri" w:hAnsi="Calibri"/>
          <w:b/>
          <w:sz w:val="22"/>
        </w:rPr>
        <w:t>5-Gate Skeptic AI Falsification:</w:t>
      </w:r>
      <w:r>
        <w:rPr>
          <w:rFonts w:ascii="Calibri" w:hAnsi="Calibri"/>
          <w:sz w:val="22"/>
        </w:rPr>
        <w:t xml:space="preserve"> </w:t>
      </w:r>
      <w:r>
        <w:rPr>
          <w:rFonts w:ascii="Consolas" w:hAnsi="Consolas"/>
          <w:color w:val="B42828"/>
          <w:sz w:val="19"/>
        </w:rPr>
        <w:t>skepticVerification.js</w:t>
      </w:r>
      <w:r>
        <w:rPr>
          <w:rFonts w:ascii="Calibri" w:hAnsi="Calibri"/>
          <w:sz w:val="22"/>
        </w:rPr>
        <w:t>. Candidate alarms must pass Glint, Planck, Canopy, Baseline, and Glitch gates before escalation.</w:t>
      </w:r>
    </w:p>
    <w:p>
      <w:pPr>
        <w:pStyle w:val="ListNumber"/>
        <w:spacing w:before="20" w:after="40"/>
      </w:pPr>
      <w:r>
        <w:rPr>
          <w:rFonts w:ascii="Calibri" w:hAnsi="Calibri"/>
          <w:b/>
          <w:sz w:val="22"/>
        </w:rPr>
        <w:t>Emergency Response Generation:</w:t>
      </w:r>
      <w:r>
        <w:rPr>
          <w:rFonts w:ascii="Calibri" w:hAnsi="Calibri"/>
          <w:sz w:val="22"/>
        </w:rPr>
        <w:t xml:space="preserve"> </w:t>
      </w:r>
      <w:r>
        <w:rPr>
          <w:rFonts w:ascii="Consolas" w:hAnsi="Consolas"/>
          <w:color w:val="B42828"/>
          <w:sz w:val="19"/>
        </w:rPr>
        <w:t>dispersion.mjs</w:t>
      </w:r>
      <w:r>
        <w:rPr>
          <w:rFonts w:ascii="Calibri" w:hAnsi="Calibri"/>
          <w:sz w:val="22"/>
        </w:rPr>
        <w:t xml:space="preserve"> + </w:t>
      </w:r>
      <w:r>
        <w:rPr>
          <w:rFonts w:ascii="Consolas" w:hAnsi="Consolas"/>
          <w:color w:val="B42828"/>
          <w:sz w:val="19"/>
        </w:rPr>
        <w:t>hazmat.mjs</w:t>
      </w:r>
      <w:r>
        <w:rPr>
          <w:rFonts w:ascii="Calibri" w:hAnsi="Calibri"/>
          <w:sz w:val="22"/>
        </w:rPr>
        <w:t xml:space="preserve"> + </w:t>
      </w:r>
      <w:r>
        <w:rPr>
          <w:rFonts w:ascii="Consolas" w:hAnsi="Consolas"/>
          <w:color w:val="B42828"/>
          <w:sz w:val="19"/>
        </w:rPr>
        <w:t>pdfIapGenerator.mjs</w:t>
      </w:r>
      <w:r>
        <w:rPr>
          <w:rFonts w:ascii="Calibri" w:hAnsi="Calibri"/>
          <w:sz w:val="22"/>
        </w:rPr>
        <w:t>. Fetches live Open-Meteo wind, calculates Briggs plume rise + Gaussian ground dispersion (\chi), cross-references NIOSH HazMat, computes WorldPop exposure, and compiles PDF IAP.</w:t>
      </w:r>
    </w:p>
    <w:p>
      <w:pPr>
        <w:pStyle w:val="ListNumber"/>
        <w:spacing w:before="20" w:after="40"/>
      </w:pPr>
      <w:r>
        <w:rPr>
          <w:rFonts w:ascii="Calibri" w:hAnsi="Calibri"/>
          <w:b/>
          <w:sz w:val="22"/>
        </w:rPr>
        <w:t>Cockpit Delivery:</w:t>
      </w:r>
      <w:r>
        <w:rPr>
          <w:rFonts w:ascii="Calibri" w:hAnsi="Calibri"/>
          <w:sz w:val="22"/>
        </w:rPr>
        <w:t xml:space="preserve"> CesiumJS 3D Globe renders dynamic heatmap + animated plume overlay; real-time SSE stream alerts incident commanders; AGNI Voice AI enables interactive speech queries.</w:t>
      </w:r>
    </w:p>
    <w:p>
      <w:pPr>
        <w:spacing w:before="120" w:after="120"/>
      </w:pPr>
      <w:r>
        <w:rPr>
          <w:color w:val="C8C8C8"/>
        </w:rPr>
        <w:t>―――――――――――――――――――――――――――――――――――――――――――――――――――――――</w:t>
      </w:r>
    </w:p>
    <w:p>
      <w:pPr>
        <w:pStyle w:val="Heading2"/>
        <w:keepNext/>
        <w:spacing w:before="280" w:after="80"/>
      </w:pPr>
      <w:r>
        <w:rPr>
          <w:rFonts w:ascii="Calibri" w:hAnsi="Calibri"/>
          <w:b/>
          <w:color w:val="C2410C"/>
          <w:sz w:val="30"/>
        </w:rPr>
        <w:t>DOC 4: Prototype Evidence &amp; Deterministic Verification</w:t>
      </w:r>
    </w:p>
    <w:p>
      <w:pPr>
        <w:pStyle w:val="Heading3"/>
        <w:keepNext/>
        <w:spacing w:before="200" w:after="60"/>
      </w:pPr>
      <w:r>
        <w:rPr>
          <w:rFonts w:ascii="Calibri" w:hAnsi="Calibri"/>
          <w:b/>
          <w:color w:val="1E3A8A"/>
          <w:sz w:val="24"/>
        </w:rPr>
        <w:t>4.1 Verified Benchmark Replay — SHA-256 Integrity Suite</w:t>
      </w:r>
    </w:p>
    <w:p>
      <w:pPr>
        <w:spacing w:before="40" w:after="80" w:line="276" w:lineRule="auto"/>
      </w:pPr>
      <w:r>
        <w:rPr>
          <w:rFonts w:ascii="Calibri" w:hAnsi="Calibri"/>
          <w:sz w:val="22"/>
        </w:rPr>
        <w:t xml:space="preserve">Run deterministically via: </w:t>
      </w:r>
      <w:r>
        <w:rPr>
          <w:rFonts w:ascii="Consolas" w:hAnsi="Consolas"/>
          <w:color w:val="B42828"/>
          <w:sz w:val="19"/>
        </w:rPr>
        <w:t>node scripts/run_sih_benchmark_replay.mjs</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Benchmark</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Site</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Resolved T_f</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A_f</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Skeptic Gates</w:t>
            </w:r>
          </w:p>
        </w:tc>
        <w:tc>
          <w:tcPr>
            <w:tcW w:type="dxa" w:w="1608"/>
            <w:vAlign w:val="center"/>
            <w:tcMar>
              <w:top w:w="120" w:type="dxa"/>
              <w:bottom w:w="120" w:type="dxa"/>
              <w:left w:w="140" w:type="dxa"/>
              <w:right w:w="140" w:type="dxa"/>
            </w:tcMar>
            <w:shd w:fill="1E3A8A"/>
          </w:tcPr>
          <w:p>
            <w:pPr>
              <w:spacing w:before="40" w:after="40"/>
            </w:pPr>
            <w:r>
              <w:rPr>
                <w:rFonts w:ascii="Calibri" w:hAnsi="Calibri"/>
                <w:b/>
                <w:color w:val="FFFFFF"/>
                <w:sz w:val="22"/>
              </w:rPr>
              <w:t>Final Classification</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b/>
                <w:sz w:val="22"/>
              </w:rPr>
              <w:t>BENCH-001</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Jamnagar Petrochemical, Gujarat</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1040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108.9 m²</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onsolas" w:hAnsi="Consolas"/>
                <w:color w:val="B42828"/>
                <w:sz w:val="19"/>
              </w:rPr>
              <w:t>INDUSTRIAL_FLARE</w:t>
            </w:r>
            <w:r>
              <w:rPr>
                <w:rFonts w:ascii="Calibri" w:hAnsi="Calibri"/>
                <w:sz w:val="22"/>
              </w:rPr>
              <w:t xml:space="preserve"> (Permitted baseline)</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b/>
                <w:sz w:val="22"/>
              </w:rPr>
              <w:t>BENCH-002</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HPCL Vizag Refinery Explosion, AP</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1360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72.0 m²</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FFFFF"/>
          </w:tcPr>
          <w:p>
            <w:pPr>
              <w:spacing w:before="40" w:after="40"/>
            </w:pPr>
            <w:r>
              <w:rPr>
                <w:rFonts w:ascii="Consolas" w:hAnsi="Consolas"/>
                <w:color w:val="B42828"/>
                <w:sz w:val="19"/>
              </w:rPr>
              <w:t>INDUSTRIAL_DISASTER</w:t>
            </w:r>
            <w:r>
              <w:rPr>
                <w:rFonts w:ascii="Calibri" w:hAnsi="Calibri"/>
                <w:sz w:val="22"/>
              </w:rPr>
              <w:t xml:space="preserve"> + Benzene IAP PDF</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b/>
                <w:sz w:val="22"/>
              </w:rPr>
              <w:t>BENCH-003</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Singrauli NTPC Power, UP/MP</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760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202.2 m²</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onsolas" w:hAnsi="Consolas"/>
                <w:color w:val="B42828"/>
                <w:sz w:val="19"/>
              </w:rPr>
              <w:t>INDUSTRIAL_PROCESS</w:t>
            </w:r>
            <w:r>
              <w:rPr>
                <w:rFonts w:ascii="Calibri" w:hAnsi="Calibri"/>
                <w:sz w:val="22"/>
              </w:rPr>
              <w:t xml:space="preserve"> (Continuous smelting/kiln)</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b/>
                <w:sz w:val="22"/>
              </w:rPr>
              <w:t>BENCH-004</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Punjab Crop Stubble, Ludhiana</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620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346.1 m²</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FFFFF"/>
          </w:tcPr>
          <w:p>
            <w:pPr>
              <w:spacing w:before="40" w:after="40"/>
            </w:pPr>
            <w:r>
              <w:rPr>
                <w:rFonts w:ascii="Consolas" w:hAnsi="Consolas"/>
                <w:color w:val="B42828"/>
                <w:sz w:val="19"/>
              </w:rPr>
              <w:t>AGRICULTURAL_BURNING</w:t>
            </w:r>
            <w:r>
              <w:rPr>
                <w:rFonts w:ascii="Calibri" w:hAnsi="Calibri"/>
                <w:sz w:val="22"/>
              </w:rPr>
              <w:t xml:space="preserve"> (Canopy/biomass)</w:t>
            </w:r>
          </w:p>
        </w:tc>
      </w:tr>
      <w:tr>
        <w:tc>
          <w:tcPr>
            <w:tcW w:type="dxa" w:w="1608"/>
            <w:vAlign w:val="center"/>
            <w:tcMar>
              <w:top w:w="120" w:type="dxa"/>
              <w:bottom w:w="120" w:type="dxa"/>
              <w:left w:w="140" w:type="dxa"/>
              <w:right w:w="140" w:type="dxa"/>
            </w:tcMar>
            <w:shd w:fill="F8FAFC"/>
          </w:tcPr>
          <w:p>
            <w:pPr>
              <w:spacing w:before="40" w:after="40"/>
            </w:pPr>
            <w:r>
              <w:rPr>
                <w:rFonts w:ascii="Calibri" w:hAnsi="Calibri"/>
                <w:b/>
                <w:sz w:val="22"/>
              </w:rPr>
              <w:t>BENCH-005</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Similipal Tiger Reserve, Odisha</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870 K</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154.9 m²</w:t>
            </w:r>
          </w:p>
        </w:tc>
        <w:tc>
          <w:tcPr>
            <w:tcW w:type="dxa" w:w="1608"/>
            <w:vAlign w:val="center"/>
            <w:tcMar>
              <w:top w:w="120" w:type="dxa"/>
              <w:bottom w:w="120" w:type="dxa"/>
              <w:left w:w="140" w:type="dxa"/>
              <w:right w:w="140" w:type="dxa"/>
            </w:tcMar>
            <w:shd w:fill="F8FAFC"/>
          </w:tcPr>
          <w:p>
            <w:pPr>
              <w:spacing w:before="40" w:after="40"/>
            </w:pPr>
            <w:r>
              <w:rPr>
                <w:rFonts w:ascii="Calibri" w:hAnsi="Calibri"/>
                <w:sz w:val="22"/>
              </w:rPr>
              <w:t>5/5 PASS</w:t>
            </w:r>
          </w:p>
        </w:tc>
        <w:tc>
          <w:tcPr>
            <w:tcW w:type="dxa" w:w="1608"/>
            <w:vAlign w:val="center"/>
            <w:tcMar>
              <w:top w:w="120" w:type="dxa"/>
              <w:bottom w:w="120" w:type="dxa"/>
              <w:left w:w="140" w:type="dxa"/>
              <w:right w:w="140" w:type="dxa"/>
            </w:tcMar>
            <w:shd w:fill="F8FAFC"/>
          </w:tcPr>
          <w:p>
            <w:pPr>
              <w:spacing w:before="40" w:after="40"/>
            </w:pPr>
            <w:r>
              <w:rPr>
                <w:rFonts w:ascii="Consolas" w:hAnsi="Consolas"/>
                <w:color w:val="B42828"/>
                <w:sz w:val="19"/>
              </w:rPr>
              <w:t>FOREST_WILDFIRE</w:t>
            </w:r>
            <w:r>
              <w:rPr>
                <w:rFonts w:ascii="Calibri" w:hAnsi="Calibri"/>
                <w:sz w:val="22"/>
              </w:rPr>
              <w:t xml:space="preserve"> (Biomass forest cover)</w:t>
            </w:r>
          </w:p>
        </w:tc>
      </w:tr>
      <w:tr>
        <w:tc>
          <w:tcPr>
            <w:tcW w:type="dxa" w:w="1608"/>
            <w:vAlign w:val="center"/>
            <w:tcMar>
              <w:top w:w="120" w:type="dxa"/>
              <w:bottom w:w="120" w:type="dxa"/>
              <w:left w:w="140" w:type="dxa"/>
              <w:right w:w="140" w:type="dxa"/>
            </w:tcMar>
            <w:shd w:fill="FFFFFF"/>
          </w:tcPr>
          <w:p>
            <w:pPr>
              <w:spacing w:before="40" w:after="40"/>
            </w:pPr>
            <w:r>
              <w:rPr>
                <w:rFonts w:ascii="Calibri" w:hAnsi="Calibri"/>
                <w:b/>
                <w:sz w:val="22"/>
              </w:rPr>
              <w:t>BENCH-006</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Mundra Port Warehouse, Gujarat</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550 K</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442.1 m²</w:t>
            </w:r>
          </w:p>
        </w:tc>
        <w:tc>
          <w:tcPr>
            <w:tcW w:type="dxa" w:w="1608"/>
            <w:vAlign w:val="center"/>
            <w:tcMar>
              <w:top w:w="120" w:type="dxa"/>
              <w:bottom w:w="120" w:type="dxa"/>
              <w:left w:w="140" w:type="dxa"/>
              <w:right w:w="140" w:type="dxa"/>
            </w:tcMar>
            <w:shd w:fill="FFFFFF"/>
          </w:tcPr>
          <w:p>
            <w:pPr>
              <w:spacing w:before="40" w:after="40"/>
            </w:pPr>
            <w:r>
              <w:rPr>
                <w:rFonts w:ascii="Calibri" w:hAnsi="Calibri"/>
                <w:sz w:val="22"/>
              </w:rPr>
              <w:t>REJECTED</w:t>
            </w:r>
          </w:p>
        </w:tc>
        <w:tc>
          <w:tcPr>
            <w:tcW w:type="dxa" w:w="1608"/>
            <w:vAlign w:val="center"/>
            <w:tcMar>
              <w:top w:w="120" w:type="dxa"/>
              <w:bottom w:w="120" w:type="dxa"/>
              <w:left w:w="140" w:type="dxa"/>
              <w:right w:w="140" w:type="dxa"/>
            </w:tcMar>
            <w:shd w:fill="FFFFFF"/>
          </w:tcPr>
          <w:p>
            <w:pPr>
              <w:spacing w:before="40" w:after="40"/>
            </w:pPr>
            <w:r>
              <w:rPr>
                <w:rFonts w:ascii="Consolas" w:hAnsi="Consolas"/>
                <w:color w:val="B42828"/>
                <w:sz w:val="19"/>
              </w:rPr>
              <w:t>DISCARD_FALSE_ALARM</w:t>
            </w:r>
            <w:r>
              <w:rPr>
                <w:rFonts w:ascii="Calibri" w:hAnsi="Calibri"/>
                <w:sz w:val="22"/>
              </w:rPr>
              <w:t xml:space="preserve"> (Solar glint off roof)</w:t>
            </w:r>
          </w:p>
        </w:tc>
      </w:tr>
    </w:tbl>
    <w:p>
      <w:pPr>
        <w:pStyle w:val="Heading3"/>
        <w:keepNext/>
        <w:spacing w:before="200" w:after="60"/>
      </w:pPr>
      <w:r>
        <w:rPr>
          <w:rFonts w:ascii="Calibri" w:hAnsi="Calibri"/>
          <w:b/>
          <w:color w:val="1E3A8A"/>
          <w:sz w:val="24"/>
        </w:rPr>
        <w:t>4.2 Automated Test Suite Coverage</w:t>
      </w:r>
    </w:p>
    <w:p>
      <w:pPr>
        <w:spacing w:before="40" w:after="80" w:line="276" w:lineRule="auto"/>
      </w:pPr>
      <w:r>
        <w:rPr>
          <w:rFonts w:ascii="Calibri" w:hAnsi="Calibri"/>
          <w:sz w:val="22"/>
        </w:rPr>
        <w:t>185+ passing tests across 24 suites:</w:t>
      </w:r>
    </w:p>
    <w:p>
      <w:pPr>
        <w:pStyle w:val="ListBullet"/>
        <w:spacing w:before="20" w:after="40"/>
        <w:ind w:left="360"/>
      </w:pPr>
      <w:r>
        <w:rPr>
          <w:rFonts w:ascii="Consolas" w:hAnsi="Consolas"/>
          <w:color w:val="B42828"/>
          <w:sz w:val="19"/>
        </w:rPr>
        <w:t>firms.test.mjs</w:t>
      </w:r>
      <w:r>
        <w:rPr>
          <w:rFonts w:ascii="Calibri" w:hAnsi="Calibri"/>
          <w:sz w:val="22"/>
        </w:rPr>
        <w:t xml:space="preserve"> — FIRMS API ingestion &amp; normalization</w:t>
      </w:r>
    </w:p>
    <w:p>
      <w:pPr>
        <w:pStyle w:val="ListBullet"/>
        <w:spacing w:before="20" w:after="40"/>
        <w:ind w:left="360"/>
      </w:pPr>
      <w:r>
        <w:rPr>
          <w:rFonts w:ascii="Consolas" w:hAnsi="Consolas"/>
          <w:color w:val="B42828"/>
          <w:sz w:val="19"/>
        </w:rPr>
        <w:t>thermal-classifier.test.mjs</w:t>
      </w:r>
      <w:r>
        <w:rPr>
          <w:rFonts w:ascii="Calibri" w:hAnsi="Calibri"/>
          <w:sz w:val="22"/>
        </w:rPr>
        <w:t xml:space="preserve"> — 2-stage hierarchical classification</w:t>
      </w:r>
    </w:p>
    <w:p>
      <w:pPr>
        <w:pStyle w:val="ListBullet"/>
        <w:spacing w:before="20" w:after="40"/>
        <w:ind w:left="360"/>
      </w:pPr>
      <w:r>
        <w:rPr>
          <w:rFonts w:ascii="Consolas" w:hAnsi="Consolas"/>
          <w:color w:val="B42828"/>
          <w:sz w:val="19"/>
        </w:rPr>
        <w:t>pyrometry-and-xai.test.mjs</w:t>
      </w:r>
      <w:r>
        <w:rPr>
          <w:rFonts w:ascii="Calibri" w:hAnsi="Calibri"/>
          <w:sz w:val="22"/>
        </w:rPr>
        <w:t xml:space="preserve"> — Dozier inversion + TreeSHAP</w:t>
      </w:r>
    </w:p>
    <w:p>
      <w:pPr>
        <w:pStyle w:val="ListBullet"/>
        <w:spacing w:before="20" w:after="40"/>
        <w:ind w:left="360"/>
      </w:pPr>
      <w:r>
        <w:rPr>
          <w:rFonts w:ascii="Consolas" w:hAnsi="Consolas"/>
          <w:color w:val="B42828"/>
          <w:sz w:val="19"/>
        </w:rPr>
        <w:t>skepticVerification.test.mjs</w:t>
      </w:r>
      <w:r>
        <w:rPr>
          <w:rFonts w:ascii="Calibri" w:hAnsi="Calibri"/>
          <w:sz w:val="22"/>
        </w:rPr>
        <w:t xml:space="preserve"> — 5-gate adversarial falsification</w:t>
      </w:r>
    </w:p>
    <w:p>
      <w:pPr>
        <w:pStyle w:val="ListBullet"/>
        <w:spacing w:before="20" w:after="40"/>
        <w:ind w:left="360"/>
      </w:pPr>
      <w:r>
        <w:rPr>
          <w:rFonts w:ascii="Consolas" w:hAnsi="Consolas"/>
          <w:color w:val="B42828"/>
          <w:sz w:val="19"/>
        </w:rPr>
        <w:t>sihBenchmarkReplay.test.mjs</w:t>
      </w:r>
      <w:r>
        <w:rPr>
          <w:rFonts w:ascii="Calibri" w:hAnsi="Calibri"/>
          <w:sz w:val="22"/>
        </w:rPr>
        <w:t xml:space="preserve"> — SHA-256 deterministic benchmarks</w:t>
      </w:r>
    </w:p>
    <w:p>
      <w:pPr>
        <w:pStyle w:val="ListBullet"/>
        <w:spacing w:before="20" w:after="40"/>
        <w:ind w:left="360"/>
      </w:pPr>
      <w:r>
        <w:rPr>
          <w:rFonts w:ascii="Consolas" w:hAnsi="Consolas"/>
          <w:color w:val="B42828"/>
          <w:sz w:val="19"/>
        </w:rPr>
        <w:t>briggs-plume-rise.test.mjs</w:t>
      </w:r>
      <w:r>
        <w:rPr>
          <w:rFonts w:ascii="Calibri" w:hAnsi="Calibri"/>
          <w:sz w:val="22"/>
        </w:rPr>
        <w:t xml:space="preserve"> — Atmospheric plume physics</w:t>
      </w:r>
    </w:p>
    <w:p>
      <w:pPr>
        <w:pStyle w:val="ListBullet"/>
        <w:spacing w:before="20" w:after="40"/>
        <w:ind w:left="360"/>
      </w:pPr>
      <w:r>
        <w:rPr>
          <w:rFonts w:ascii="Consolas" w:hAnsi="Consolas"/>
          <w:color w:val="B42828"/>
          <w:sz w:val="19"/>
        </w:rPr>
        <w:t>ml-worker-resilience.test.mjs</w:t>
      </w:r>
      <w:r>
        <w:rPr>
          <w:rFonts w:ascii="Calibri" w:hAnsi="Calibri"/>
          <w:sz w:val="22"/>
        </w:rPr>
        <w:t xml:space="preserve"> — Python worker state machine &amp; crash recovery</w:t>
      </w:r>
    </w:p>
    <w:p>
      <w:pPr>
        <w:pStyle w:val="ListBullet"/>
        <w:spacing w:before="20" w:after="40"/>
        <w:ind w:left="360"/>
      </w:pPr>
      <w:r>
        <w:rPr>
          <w:rFonts w:ascii="Consolas" w:hAnsi="Consolas"/>
          <w:color w:val="B42828"/>
          <w:sz w:val="19"/>
        </w:rPr>
        <w:t>security.test.mjs</w:t>
      </w:r>
      <w:r>
        <w:rPr>
          <w:rFonts w:ascii="Calibri" w:hAnsi="Calibri"/>
          <w:sz w:val="22"/>
        </w:rPr>
        <w:t xml:space="preserve"> — Rate limiting, auth, injection defenses</w:t>
      </w:r>
    </w:p>
    <w:p>
      <w:pPr>
        <w:pStyle w:val="ListBullet"/>
        <w:spacing w:before="20" w:after="40"/>
        <w:ind w:left="360"/>
      </w:pPr>
      <w:r>
        <w:rPr>
          <w:rFonts w:ascii="Consolas" w:hAnsi="Consolas"/>
          <w:color w:val="B42828"/>
          <w:sz w:val="19"/>
        </w:rPr>
        <w:t>production-backend.test.mjs</w:t>
      </w:r>
      <w:r>
        <w:rPr>
          <w:rFonts w:ascii="Calibri" w:hAnsi="Calibri"/>
          <w:sz w:val="22"/>
        </w:rPr>
        <w:t xml:space="preserve"> — Full production API integration</w:t>
      </w:r>
    </w:p>
    <w:p>
      <w:pPr>
        <w:pStyle w:val="ListBullet"/>
        <w:spacing w:before="20" w:after="40"/>
        <w:ind w:left="360"/>
      </w:pPr>
      <w:r>
        <w:rPr>
          <w:rFonts w:ascii="Consolas" w:hAnsi="Consolas"/>
          <w:color w:val="B42828"/>
          <w:sz w:val="19"/>
        </w:rPr>
        <w:t>worldpopExposure.test.mjs</w:t>
      </w:r>
      <w:r>
        <w:rPr>
          <w:rFonts w:ascii="Calibri" w:hAnsi="Calibri"/>
          <w:sz w:val="22"/>
        </w:rPr>
        <w:t xml:space="preserve"> — Population exposure assessment</w:t>
      </w:r>
    </w:p>
    <w:p>
      <w:pPr>
        <w:spacing w:before="120" w:after="120"/>
      </w:pPr>
      <w:r>
        <w:rPr>
          <w:color w:val="C8C8C8"/>
        </w:rPr>
        <w:t>―――――――――――――――――――――――――――――――――――――――――――――――――――――――</w:t>
      </w:r>
    </w:p>
    <w:p>
      <w:pPr>
        <w:pStyle w:val="Heading2"/>
        <w:keepNext/>
        <w:spacing w:before="280" w:after="80"/>
      </w:pPr>
      <w:r>
        <w:rPr>
          <w:rFonts w:ascii="Calibri" w:hAnsi="Calibri"/>
          <w:b/>
          <w:color w:val="C2410C"/>
          <w:sz w:val="30"/>
        </w:rPr>
        <w:t>DOC 5: Impact Assessment — Cost-Benefit Analysis, ROI &amp; Deployment Roadmap</w:t>
      </w:r>
    </w:p>
    <w:p>
      <w:pPr>
        <w:pStyle w:val="Heading3"/>
        <w:keepNext/>
        <w:spacing w:before="200" w:after="60"/>
      </w:pPr>
      <w:r>
        <w:rPr>
          <w:rFonts w:ascii="Calibri" w:hAnsi="Calibri"/>
          <w:b/>
          <w:color w:val="1E3A8A"/>
          <w:sz w:val="24"/>
        </w:rPr>
        <w:t>5.1 Quantified Problem Cost (India Annual Baseline)</w:t>
      </w:r>
    </w:p>
    <w:p>
      <w:pPr>
        <w:pStyle w:val="ListBullet"/>
        <w:spacing w:before="20" w:after="40"/>
        <w:ind w:left="360"/>
      </w:pPr>
      <w:r>
        <w:rPr>
          <w:rFonts w:ascii="Calibri" w:hAnsi="Calibri"/>
          <w:sz w:val="22"/>
        </w:rPr>
        <w:t>Industrial fire &amp; explosion property damage: ₹3,500–5,200 crore</w:t>
      </w:r>
    </w:p>
    <w:p>
      <w:pPr>
        <w:pStyle w:val="ListBullet"/>
        <w:spacing w:before="20" w:after="40"/>
        <w:ind w:left="360"/>
      </w:pPr>
      <w:r>
        <w:rPr>
          <w:rFonts w:ascii="Calibri" w:hAnsi="Calibri"/>
          <w:sz w:val="22"/>
        </w:rPr>
        <w:t>Emergency services false alarm mobilization: ₹180–240 crore</w:t>
      </w:r>
    </w:p>
    <w:p>
      <w:pPr>
        <w:pStyle w:val="ListBullet"/>
        <w:spacing w:before="20" w:after="40"/>
        <w:ind w:left="360"/>
      </w:pPr>
      <w:r>
        <w:rPr>
          <w:rFonts w:ascii="Calibri" w:hAnsi="Calibri"/>
          <w:sz w:val="22"/>
        </w:rPr>
        <w:t>Industrial insurance premium inflation: ₹420 crore</w:t>
      </w:r>
    </w:p>
    <w:p>
      <w:pPr>
        <w:pStyle w:val="ListBullet"/>
        <w:spacing w:before="20" w:after="40"/>
        <w:ind w:left="360"/>
      </w:pPr>
      <w:r>
        <w:rPr>
          <w:rFonts w:ascii="Calibri" w:hAnsi="Calibri"/>
          <w:sz w:val="22"/>
        </w:rPr>
        <w:t>Environmental remediation (post-event): ₹600–900 crore</w:t>
      </w:r>
    </w:p>
    <w:p>
      <w:pPr>
        <w:pStyle w:val="ListBullet"/>
        <w:spacing w:before="20" w:after="40"/>
        <w:ind w:left="360"/>
      </w:pPr>
      <w:r>
        <w:rPr>
          <w:rFonts w:ascii="Calibri" w:hAnsi="Calibri"/>
          <w:sz w:val="22"/>
        </w:rPr>
        <w:t>Civilian medical &amp; rehabilitation: ₹220–380 crore</w:t>
      </w:r>
    </w:p>
    <w:p>
      <w:pPr>
        <w:pStyle w:val="ListBullet"/>
        <w:spacing w:before="20" w:after="40"/>
        <w:ind w:left="360"/>
      </w:pPr>
      <w:r>
        <w:rPr>
          <w:rFonts w:ascii="Calibri" w:hAnsi="Calibri"/>
          <w:b/>
          <w:sz w:val="22"/>
        </w:rPr>
        <w:t>Total Estimated Annual Loss:</w:t>
      </w:r>
      <w:r>
        <w:rPr>
          <w:rFonts w:ascii="Calibri" w:hAnsi="Calibri"/>
          <w:sz w:val="22"/>
        </w:rPr>
        <w:t xml:space="preserve"> </w:t>
      </w:r>
      <w:r>
        <w:rPr>
          <w:rFonts w:ascii="Calibri" w:hAnsi="Calibri"/>
          <w:b/>
          <w:sz w:val="22"/>
        </w:rPr>
        <w:t>₹4,920–6,920 crore</w:t>
      </w:r>
    </w:p>
    <w:p>
      <w:pPr>
        <w:pStyle w:val="Heading3"/>
        <w:keepNext/>
        <w:spacing w:before="200" w:after="60"/>
      </w:pPr>
      <w:r>
        <w:rPr>
          <w:rFonts w:ascii="Calibri" w:hAnsi="Calibri"/>
          <w:b/>
          <w:color w:val="1E3A8A"/>
          <w:sz w:val="24"/>
        </w:rPr>
        <w:t>5.2 PyroSat Deployment Cost Model (Year 1)</w:t>
      </w:r>
    </w:p>
    <w:p>
      <w:pPr>
        <w:pStyle w:val="ListBullet"/>
        <w:spacing w:before="20" w:after="40"/>
        <w:ind w:left="360"/>
      </w:pPr>
      <w:r>
        <w:rPr>
          <w:rFonts w:ascii="Calibri" w:hAnsi="Calibri"/>
          <w:sz w:val="22"/>
        </w:rPr>
        <w:t>Cloud infrastructure (Render / AWS / NIC): ₹12–18 lakh/year</w:t>
      </w:r>
    </w:p>
    <w:p>
      <w:pPr>
        <w:pStyle w:val="ListBullet"/>
        <w:spacing w:before="20" w:after="40"/>
        <w:ind w:left="360"/>
      </w:pPr>
      <w:r>
        <w:rPr>
          <w:rFonts w:ascii="Calibri" w:hAnsi="Calibri"/>
          <w:sz w:val="22"/>
        </w:rPr>
        <w:t>API data costs (NASA FIRMS, Open-Meteo): ₹0 (open access)</w:t>
      </w:r>
    </w:p>
    <w:p>
      <w:pPr>
        <w:pStyle w:val="ListBullet"/>
        <w:spacing w:before="20" w:after="40"/>
        <w:ind w:left="360"/>
      </w:pPr>
      <w:r>
        <w:rPr>
          <w:rFonts w:ascii="Calibri" w:hAnsi="Calibri"/>
          <w:sz w:val="22"/>
        </w:rPr>
        <w:t>Engineering &amp; domain team (3 engineers): ₹36 lakh/year</w:t>
      </w:r>
    </w:p>
    <w:p>
      <w:pPr>
        <w:pStyle w:val="ListBullet"/>
        <w:spacing w:before="20" w:after="40"/>
        <w:ind w:left="360"/>
      </w:pPr>
      <w:r>
        <w:rPr>
          <w:rFonts w:ascii="Calibri" w:hAnsi="Calibri"/>
          <w:b/>
          <w:sz w:val="22"/>
        </w:rPr>
        <w:t>Total Year 1 Operational Cost:</w:t>
      </w:r>
      <w:r>
        <w:rPr>
          <w:rFonts w:ascii="Calibri" w:hAnsi="Calibri"/>
          <w:sz w:val="22"/>
        </w:rPr>
        <w:t xml:space="preserve"> </w:t>
      </w:r>
      <w:r>
        <w:rPr>
          <w:rFonts w:ascii="Calibri" w:hAnsi="Calibri"/>
          <w:b/>
          <w:sz w:val="22"/>
        </w:rPr>
        <w:t>~₹48–54 lakh</w:t>
      </w:r>
    </w:p>
    <w:p>
      <w:pPr>
        <w:pStyle w:val="Heading3"/>
        <w:keepNext/>
        <w:spacing w:before="200" w:after="60"/>
      </w:pPr>
      <w:r>
        <w:rPr>
          <w:rFonts w:ascii="Calibri" w:hAnsi="Calibri"/>
          <w:b/>
          <w:color w:val="1E3A8A"/>
          <w:sz w:val="24"/>
        </w:rPr>
        <w:t>5.3 Benefit Quantification &amp; ROI</w:t>
      </w:r>
    </w:p>
    <w:p>
      <w:pPr>
        <w:pStyle w:val="ListBullet"/>
        <w:spacing w:before="20" w:after="40"/>
        <w:ind w:left="360"/>
      </w:pPr>
      <w:r>
        <w:rPr>
          <w:rFonts w:ascii="Calibri" w:hAnsi="Calibri"/>
          <w:sz w:val="22"/>
        </w:rPr>
        <w:t>False alarm reduction (68% → &lt;15%): ₹120–160 crore/yr saved</w:t>
      </w:r>
    </w:p>
    <w:p>
      <w:pPr>
        <w:pStyle w:val="ListBullet"/>
        <w:spacing w:before="20" w:after="40"/>
        <w:ind w:left="360"/>
      </w:pPr>
      <w:r>
        <w:rPr>
          <w:rFonts w:ascii="Calibri" w:hAnsi="Calibri"/>
          <w:sz w:val="22"/>
        </w:rPr>
        <w:t>Early disaster warning (+30 min lead time): ₹200–400 crore/yr saved</w:t>
      </w:r>
    </w:p>
    <w:p>
      <w:pPr>
        <w:pStyle w:val="ListBullet"/>
        <w:spacing w:before="20" w:after="40"/>
        <w:ind w:left="360"/>
      </w:pPr>
      <w:r>
        <w:rPr>
          <w:rFonts w:ascii="Calibri" w:hAnsi="Calibri"/>
          <w:sz w:val="22"/>
        </w:rPr>
        <w:t>Illegal flaring enforcement (CPCB penalties): ₹80–150 crore/yr recovered</w:t>
      </w:r>
    </w:p>
    <w:p>
      <w:pPr>
        <w:pStyle w:val="ListBullet"/>
        <w:spacing w:before="20" w:after="40"/>
        <w:ind w:left="360"/>
      </w:pPr>
      <w:r>
        <w:rPr>
          <w:rFonts w:ascii="Calibri" w:hAnsi="Calibri"/>
          <w:sz w:val="22"/>
        </w:rPr>
        <w:t>Industrial accident prevention: ₹500–800 crore/yr averted</w:t>
      </w:r>
    </w:p>
    <w:p>
      <w:pPr>
        <w:pStyle w:val="ListBullet"/>
        <w:spacing w:before="20" w:after="40"/>
        <w:ind w:left="360"/>
      </w:pPr>
      <w:r>
        <w:rPr>
          <w:rFonts w:ascii="Calibri" w:hAnsi="Calibri"/>
          <w:b/>
          <w:sz w:val="22"/>
        </w:rPr>
        <w:t>Total Annual Benefit:</w:t>
      </w:r>
      <w:r>
        <w:rPr>
          <w:rFonts w:ascii="Calibri" w:hAnsi="Calibri"/>
          <w:sz w:val="22"/>
        </w:rPr>
        <w:t xml:space="preserve"> </w:t>
      </w:r>
      <w:r>
        <w:rPr>
          <w:rFonts w:ascii="Calibri" w:hAnsi="Calibri"/>
          <w:b/>
          <w:sz w:val="22"/>
        </w:rPr>
        <w:t>₹900–1,510 crore/yr</w:t>
      </w:r>
    </w:p>
    <w:p>
      <w:pPr>
        <w:pStyle w:val="ListBullet"/>
        <w:spacing w:before="20" w:after="40"/>
        <w:ind w:left="360"/>
      </w:pPr>
      <w:r>
        <w:rPr>
          <w:rFonts w:ascii="Calibri" w:hAnsi="Calibri"/>
          <w:b/>
          <w:sz w:val="22"/>
        </w:rPr>
        <w:t>Year 1 Return on Investment (ROI):</w:t>
      </w:r>
      <w:r>
        <w:rPr>
          <w:rFonts w:ascii="Calibri" w:hAnsi="Calibri"/>
          <w:sz w:val="22"/>
        </w:rPr>
        <w:t xml:space="preserve"> </w:t>
      </w:r>
      <w:r>
        <w:rPr>
          <w:rFonts w:ascii="Calibri" w:hAnsi="Calibri"/>
          <w:b/>
          <w:sz w:val="22"/>
        </w:rPr>
        <w:t>1,666×</w:t>
      </w:r>
    </w:p>
    <w:p>
      <w:pPr>
        <w:pStyle w:val="ListBullet"/>
        <w:spacing w:before="20" w:after="40"/>
        <w:ind w:left="360"/>
      </w:pPr>
      <w:r>
        <w:rPr>
          <w:rFonts w:ascii="Calibri" w:hAnsi="Calibri"/>
          <w:b/>
          <w:sz w:val="22"/>
        </w:rPr>
        <w:t>Break-Even Period:</w:t>
      </w:r>
      <w:r>
        <w:rPr>
          <w:rFonts w:ascii="Calibri" w:hAnsi="Calibri"/>
          <w:sz w:val="22"/>
        </w:rPr>
        <w:t xml:space="preserve"> </w:t>
      </w:r>
      <w:r>
        <w:rPr>
          <w:rFonts w:ascii="Calibri" w:hAnsi="Calibri"/>
          <w:b/>
          <w:sz w:val="22"/>
        </w:rPr>
        <w:t>&lt; 3 weeks of deployment</w:t>
      </w:r>
    </w:p>
    <w:p>
      <w:pPr>
        <w:pStyle w:val="Heading3"/>
        <w:keepNext/>
        <w:spacing w:before="200" w:after="60"/>
      </w:pPr>
      <w:r>
        <w:rPr>
          <w:rFonts w:ascii="Calibri" w:hAnsi="Calibri"/>
          <w:b/>
          <w:color w:val="1E3A8A"/>
          <w:sz w:val="24"/>
        </w:rPr>
        <w:t>5.4 Phased Deployment Roadmap</w:t>
      </w:r>
    </w:p>
    <w:p>
      <w:pPr>
        <w:pStyle w:val="ListBullet"/>
        <w:spacing w:before="20" w:after="40"/>
        <w:ind w:left="360"/>
      </w:pPr>
      <w:r>
        <w:rPr>
          <w:rFonts w:ascii="Calibri" w:hAnsi="Calibri"/>
          <w:b/>
          <w:sz w:val="22"/>
        </w:rPr>
        <w:t>Phase 1 — Hackathon Prototype (Q3 2026 — Current):</w:t>
      </w:r>
      <w:r>
        <w:rPr>
          <w:rFonts w:ascii="Calibri" w:hAnsi="Calibri"/>
          <w:sz w:val="22"/>
        </w:rPr>
        <w:t xml:space="preserve"> Complete 5-tier architecture operational, 185+ automated tests passing, 6 SHA-256 benchmarks verified, deployed live on Render cloud.</w:t>
      </w:r>
    </w:p>
    <w:p>
      <w:pPr>
        <w:pStyle w:val="ListBullet"/>
        <w:spacing w:before="20" w:after="40"/>
        <w:ind w:left="360"/>
      </w:pPr>
      <w:r>
        <w:rPr>
          <w:rFonts w:ascii="Calibri" w:hAnsi="Calibri"/>
          <w:b/>
          <w:sz w:val="22"/>
        </w:rPr>
        <w:t>Phase 2 — State Pilot Deployment (Q4 2026 – Q2 2027):</w:t>
      </w:r>
      <w:r>
        <w:rPr>
          <w:rFonts w:ascii="Calibri" w:hAnsi="Calibri"/>
          <w:sz w:val="22"/>
        </w:rPr>
        <w:t xml:space="preserve"> Pilot MoU with 1 SDMA (Gujarat / Andhra Pradesh), real-time FIRMS API state ingestion, integration with IDRN (Integrated Disaster Resource Network), first operational IAP dispatch tested with NDRF battalion.</w:t>
      </w:r>
    </w:p>
    <w:p>
      <w:pPr>
        <w:pStyle w:val="ListBullet"/>
        <w:spacing w:before="20" w:after="40"/>
        <w:ind w:left="360"/>
      </w:pPr>
      <w:r>
        <w:rPr>
          <w:rFonts w:ascii="Calibri" w:hAnsi="Calibri"/>
          <w:b/>
          <w:sz w:val="22"/>
        </w:rPr>
        <w:t>Phase 3 — National Rollout (Q3 2027 – Q4 2028):</w:t>
      </w:r>
      <w:r>
        <w:rPr>
          <w:rFonts w:ascii="Calibri" w:hAnsi="Calibri"/>
          <w:sz w:val="22"/>
        </w:rPr>
        <w:t xml:space="preserve"> API integration across all 36 SDMA portals, CPCB emissions compliance enforcement, industrial facility subscription API launch.</w:t>
      </w:r>
    </w:p>
    <w:p>
      <w:pPr>
        <w:pStyle w:val="ListBullet"/>
        <w:spacing w:before="20" w:after="40"/>
        <w:ind w:left="360"/>
      </w:pPr>
      <w:r>
        <w:rPr>
          <w:rFonts w:ascii="Calibri" w:hAnsi="Calibri"/>
          <w:b/>
          <w:sz w:val="22"/>
        </w:rPr>
        <w:t>Phase 4 — International Expansion (2029+):</w:t>
      </w:r>
      <w:r>
        <w:rPr>
          <w:rFonts w:ascii="Calibri" w:hAnsi="Calibri"/>
          <w:sz w:val="22"/>
        </w:rPr>
        <w:t xml:space="preserve"> South Asian expansion (Bangladesh, Sri Lanka, Nepal), Southeast Asian corridors (Vietnam, Indonesia), licensing via UNDRR / UNDP disaster resilience programs.</w:t>
      </w:r>
    </w:p>
    <w:p>
      <w:r>
        <w:br w:type="page"/>
      </w:r>
    </w:p>
    <w:p>
      <w:pPr>
        <w:pStyle w:val="Heading1"/>
        <w:keepNext/>
        <w:spacing w:before="320" w:after="120"/>
      </w:pPr>
      <w:r>
        <w:rPr>
          <w:rFonts w:ascii="Calibri" w:hAnsi="Calibri"/>
          <w:b/>
          <w:color w:val="0F2C59"/>
          <w:sz w:val="40"/>
        </w:rPr>
        <w:t>System Architecture Visual</w:t>
      </w:r>
    </w:p>
    <w:p>
      <w:pPr>
        <w:jc w:val="center"/>
      </w:pPr>
    </w:p>
    <w:p>
      <w:r>
        <w:drawing>
          <wp:inline xmlns:a="http://schemas.openxmlformats.org/drawingml/2006/main" xmlns:pic="http://schemas.openxmlformats.org/drawingml/2006/picture">
            <wp:extent cx="6035040" cy="3368394"/>
            <wp:docPr id="1" name="Picture 1"/>
            <wp:cNvGraphicFramePr>
              <a:graphicFrameLocks noChangeAspect="1"/>
            </wp:cNvGraphicFramePr>
            <a:graphic>
              <a:graphicData uri="http://schemas.openxmlformats.org/drawingml/2006/picture">
                <pic:pic>
                  <pic:nvPicPr>
                    <pic:cNvPr id="0" name="pyrosat_architecture_diagram.jpg"/>
                    <pic:cNvPicPr/>
                  </pic:nvPicPr>
                  <pic:blipFill>
                    <a:blip r:embed="rId10"/>
                    <a:stretch>
                      <a:fillRect/>
                    </a:stretch>
                  </pic:blipFill>
                  <pic:spPr>
                    <a:xfrm>
                      <a:off x="0" y="0"/>
                      <a:ext cx="6035040" cy="3368394"/>
                    </a:xfrm>
                    <a:prstGeom prst="rect"/>
                  </pic:spPr>
                </pic:pic>
              </a:graphicData>
            </a:graphic>
          </wp:inline>
        </w:drawing>
      </w:r>
    </w:p>
    <w:p>
      <w:pPr>
        <w:jc w:val="center"/>
      </w:pPr>
      <w:r>
        <w:rPr>
          <w:rFonts w:ascii="Calibri" w:hAnsi="Calibri"/>
          <w:i/>
          <w:color w:val="646464"/>
          <w:sz w:val="19"/>
        </w:rPr>
        <w:t>Figure: PyroSat 5-Tier End-to-End System Architecture (NASA FIRMS -&gt; Ingestion -&gt; Physics -&gt; Skeptic AI -&gt; Command Cockpit)</w:t>
      </w:r>
    </w:p>
    <w:sectPr w:rsidR="00FC693F" w:rsidRPr="0006063C" w:rsidSect="00034616">
      <w:head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PyroSat — SIH 2026 | NTRO (SIH26162) | Team: Thinkers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