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</w:pPr>
      <w:r>
        <w:rPr>
          <w:rFonts w:ascii="Calibri" w:hAnsi="Calibri"/>
          <w:b/>
          <w:color w:val="0F2C59"/>
          <w:sz w:val="40"/>
        </w:rPr>
        <w:t>PyroSat — Feasibility, Viability, and Challenges &amp; Mitigations Matrix</w:t>
      </w:r>
    </w:p>
    <w:p>
      <w:pPr>
        <w:pStyle w:val="Heading3"/>
        <w:keepNext/>
        <w:spacing w:before="200" w:after="60"/>
      </w:pPr>
      <w:r>
        <w:rPr>
          <w:rFonts w:ascii="Calibri" w:hAnsi="Calibri"/>
          <w:b/>
          <w:color w:val="1E3A8A"/>
          <w:sz w:val="24"/>
        </w:rPr>
        <w:t>Problem Statement: SIH26162 | Organization: NTRO | Team: Thinkers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This document provides a comprehensive mapping of </w:t>
      </w:r>
      <w:r>
        <w:rPr>
          <w:rFonts w:ascii="Calibri" w:hAnsi="Calibri"/>
          <w:b/>
          <w:sz w:val="22"/>
        </w:rPr>
        <w:t>PyroSat</w:t>
      </w:r>
      <w:r>
        <w:rPr>
          <w:rFonts w:ascii="Calibri" w:hAnsi="Calibri"/>
          <w:sz w:val="22"/>
        </w:rPr>
        <w:t xml:space="preserve"> against standard SIH evaluation dimensions: </w:t>
      </w:r>
      <w:r>
        <w:rPr>
          <w:rFonts w:ascii="Calibri" w:hAnsi="Calibri"/>
          <w:b/>
          <w:sz w:val="22"/>
        </w:rPr>
        <w:t>Feasibility Analysis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Long-Term Viability</w:t>
      </w:r>
      <w:r>
        <w:rPr>
          <w:rFonts w:ascii="Calibri" w:hAnsi="Calibri"/>
          <w:sz w:val="22"/>
        </w:rPr>
        <w:t xml:space="preserve">, and </w:t>
      </w:r>
      <w:r>
        <w:rPr>
          <w:rFonts w:ascii="Calibri" w:hAnsi="Calibri"/>
          <w:b/>
          <w:sz w:val="22"/>
        </w:rPr>
        <w:t>Challenges, Risks &amp; Engineering Mitigations</w:t>
      </w:r>
      <w:r>
        <w:rPr>
          <w:rFonts w:ascii="Calibri" w:hAnsi="Calibri"/>
          <w:sz w:val="22"/>
        </w:rPr>
        <w:t>.</w:t>
      </w:r>
    </w:p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1. Feasibility Analysis: Can We Build and Deploy This Successfully?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Feasibility Level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PyroSat Implementation &amp; Evidence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Technical Feasibility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★★★★★ </w:t>
            </w:r>
            <w:r>
              <w:rPr>
                <w:rFonts w:ascii="Calibri" w:hAnsi="Calibri"/>
                <w:i/>
                <w:sz w:val="22"/>
              </w:rPr>
              <w:t>(5/5)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• Built on well-established, peer-reviewed physics models: </w:t>
            </w:r>
            <w:r>
              <w:rPr>
                <w:rFonts w:ascii="Calibri" w:hAnsi="Calibri"/>
                <w:b/>
                <w:sz w:val="22"/>
              </w:rPr>
              <w:t>Dozier (1981)</w:t>
            </w:r>
            <w:r>
              <w:rPr>
                <w:rFonts w:ascii="Calibri" w:hAnsi="Calibri"/>
                <w:sz w:val="22"/>
              </w:rPr>
              <w:t xml:space="preserve"> sub-pixel dual-band pyrometry and </w:t>
            </w:r>
            <w:r>
              <w:rPr>
                <w:rFonts w:ascii="Calibri" w:hAnsi="Calibri"/>
                <w:b/>
                <w:sz w:val="22"/>
              </w:rPr>
              <w:t>Briggs (1975) / Pasquill-Gifford</w:t>
            </w:r>
            <w:r>
              <w:rPr>
                <w:rFonts w:ascii="Calibri" w:hAnsi="Calibri"/>
                <w:sz w:val="22"/>
              </w:rPr>
              <w:t xml:space="preserve"> atmospheric dispersion.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Production-proven ML &amp; XAI stack: </w:t>
            </w:r>
            <w:r>
              <w:rPr>
                <w:rFonts w:ascii="Calibri" w:hAnsi="Calibri"/>
                <w:b/>
                <w:sz w:val="22"/>
              </w:rPr>
              <w:t>LightGBM</w:t>
            </w:r>
            <w:r>
              <w:rPr>
                <w:rFonts w:ascii="Calibri" w:hAnsi="Calibri"/>
                <w:sz w:val="22"/>
              </w:rPr>
              <w:t xml:space="preserve"> (Ke et al., 2017) and polynomial dynamic programming </w:t>
            </w:r>
            <w:r>
              <w:rPr>
                <w:rFonts w:ascii="Calibri" w:hAnsi="Calibri"/>
                <w:b/>
                <w:sz w:val="22"/>
              </w:rPr>
              <w:t>TreeSHAP</w:t>
            </w:r>
            <w:r>
              <w:rPr>
                <w:rFonts w:ascii="Calibri" w:hAnsi="Calibri"/>
                <w:sz w:val="22"/>
              </w:rPr>
              <w:t xml:space="preserve"> (Lundberg et al., 2020).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Zero GPU requirement: Full inference pipeline executes in </w:t>
            </w:r>
            <w:r>
              <w:rPr>
                <w:rFonts w:ascii="Calibri" w:hAnsi="Calibri"/>
                <w:b/>
                <w:sz w:val="22"/>
              </w:rPr>
              <w:t>&lt; 50 milliseconds</w:t>
            </w:r>
            <w:r>
              <w:rPr>
                <w:rFonts w:ascii="Calibri" w:hAnsi="Calibri"/>
                <w:sz w:val="22"/>
              </w:rPr>
              <w:t xml:space="preserve"> per hotspot on commodity CPU.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Full prototype implemented with </w:t>
            </w:r>
            <w:r>
              <w:rPr>
                <w:rFonts w:ascii="Calibri" w:hAnsi="Calibri"/>
                <w:b/>
                <w:sz w:val="22"/>
              </w:rPr>
              <w:t>185+ automated tests passing</w:t>
            </w:r>
            <w:r>
              <w:rPr>
                <w:rFonts w:ascii="Calibri" w:hAnsi="Calibri"/>
                <w:sz w:val="22"/>
              </w:rPr>
              <w:t xml:space="preserve"> across 24 suites.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Financial Feasibility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★★★★★ </w:t>
            </w:r>
            <w:r>
              <w:rPr>
                <w:rFonts w:ascii="Calibri" w:hAnsi="Calibri"/>
                <w:i/>
                <w:sz w:val="22"/>
              </w:rPr>
              <w:t>(5/5)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• Zero recurring data costs: Ingests 100% free, open-access public satellite observations (NASA FIRMS, ESA Copernicus Sentinel-2, ESA WorldCover, Open-Meteo).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Minimal infrastructure requirements: Standard cloud tier (Render / AWS / NIC) costing ~₹12–18 lakh/year.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Total Year 1 operational budget is </w:t>
            </w:r>
            <w:r>
              <w:rPr>
                <w:rFonts w:ascii="Calibri" w:hAnsi="Calibri"/>
                <w:b/>
                <w:sz w:val="22"/>
              </w:rPr>
              <w:t>~₹48–54 lakh</w:t>
            </w:r>
            <w:r>
              <w:rPr>
                <w:rFonts w:ascii="Calibri" w:hAnsi="Calibri"/>
                <w:sz w:val="22"/>
              </w:rPr>
              <w:t xml:space="preserve">, delivering an estimated benefit of </w:t>
            </w:r>
            <w:r>
              <w:rPr>
                <w:rFonts w:ascii="Calibri" w:hAnsi="Calibri"/>
                <w:b/>
                <w:sz w:val="22"/>
              </w:rPr>
              <w:t>₹900+ crore/year</w:t>
            </w:r>
            <w:r>
              <w:rPr>
                <w:rFonts w:ascii="Calibri" w:hAnsi="Calibri"/>
                <w:sz w:val="22"/>
              </w:rPr>
              <w:t xml:space="preserve"> (</w:t>
            </w:r>
            <w:r>
              <w:rPr>
                <w:rFonts w:ascii="Calibri" w:hAnsi="Calibri"/>
                <w:b/>
                <w:sz w:val="22"/>
              </w:rPr>
              <w:t>1,666× ROI</w:t>
            </w:r>
            <w:r>
              <w:rPr>
                <w:rFonts w:ascii="Calibri" w:hAnsi="Calibri"/>
                <w:sz w:val="22"/>
              </w:rPr>
              <w:t>).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Market Feasibility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★★★★★ </w:t>
            </w:r>
            <w:r>
              <w:rPr>
                <w:rFonts w:ascii="Calibri" w:hAnsi="Calibri"/>
                <w:i/>
                <w:sz w:val="22"/>
              </w:rPr>
              <w:t>(5/5)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• Addresses a severe, documented operational crisis formulated directly by </w:t>
            </w:r>
            <w:r>
              <w:rPr>
                <w:rFonts w:ascii="Calibri" w:hAnsi="Calibri"/>
                <w:b/>
                <w:sz w:val="22"/>
              </w:rPr>
              <w:t>NTRO</w:t>
            </w:r>
            <w:r>
              <w:rPr>
                <w:rFonts w:ascii="Calibri" w:hAnsi="Calibri"/>
                <w:sz w:val="22"/>
              </w:rPr>
              <w:t xml:space="preserve"> (National Technical Research Organisation).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>Zero direct Indian competitors</w:t>
            </w:r>
            <w:r>
              <w:rPr>
                <w:rFonts w:ascii="Calibri" w:hAnsi="Calibri"/>
                <w:sz w:val="22"/>
              </w:rPr>
              <w:t xml:space="preserve"> utilizing physics-grounded sub-pixel pyrometry; legacy systems rely either on raw FIRMS viewers or proximity rule heuristics.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Immediate institutional demand across 4 distinct sectors: Disaster Response (NDMA, 36 SDMAs, NDRF), Environmental Enforcement (CPCB, 36 SPCBs), Industrial Operators (refineries, petrochemicals), and Forestry (FSI, NTCA).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Operational Feasibility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 xml:space="preserve">★★★★★ </w:t>
            </w:r>
            <w:r>
              <w:rPr>
                <w:rFonts w:ascii="Calibri" w:hAnsi="Calibri"/>
                <w:i/>
                <w:sz w:val="22"/>
              </w:rPr>
              <w:t>(5/5)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• Modern web-based command cockpit (CesiumJS 3D WebGL) and standards-compliant RESTful API gateway (Node.js ESM + Python worker).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Seamless deployment flexibility: Can run on commercial cloud (Render/AWS) or air-gapped on-premise government infrastructure (NIC / ISRO Bhuvan).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Self-healing architecture: Python ML inference daemon with automated watchdog restarts, PING/PONG heartbeats, and exponential backoff recovery.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Automated PDF Incident Action Plan (IAP) output requires zero specialized training for field commanders.</w:t>
            </w:r>
          </w:p>
        </w:tc>
      </w:tr>
    </w:tbl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2. Viability: Can This Sustain, Scale, and Remain Relevant Long-Term?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Sustainability Rationale &amp; PyroSat Strategy</w:t>
            </w:r>
          </w:p>
        </w:tc>
      </w:tr>
      <w:tr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Long-Term Sustainability</w:t>
            </w:r>
          </w:p>
        </w:tc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Key data sources (NASA EOSDIS, ESA Copernicus, ISRO) are public space agency programs backed by multi-decade international treaties and funding commitments (VIIRS constellation funded through 2035+ on JPSS-2/3/4; Sentinel-2 Copernicus operational through 2038+). No proprietary data lock-in.</w:t>
            </w:r>
          </w:p>
        </w:tc>
      </w:tr>
      <w:tr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Scalability Viability</w:t>
            </w:r>
          </w:p>
        </w:tc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The analytical pipeline is completely stateless and parallelizable on a per-hotspot basis. Ingestion processes batches asynchronously via Node.js streams and Worker threads. System scales linearly with data volume — from regional monitoring of single industrial clusters (e.g., Jamnagar, Dahej) to all-India coverage (800–2,500 daily hotspots) without architectural changes.</w:t>
            </w:r>
          </w:p>
        </w:tc>
      </w:tr>
      <w:tr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Regulatory &amp; Policy Viability</w:t>
            </w:r>
          </w:p>
        </w:tc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Aligned with statutory Indian environmental and safety mandates: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>National Green Tribunal (NGT)</w:t>
            </w:r>
            <w:r>
              <w:rPr>
                <w:rFonts w:ascii="Calibri" w:hAnsi="Calibri"/>
                <w:sz w:val="22"/>
              </w:rPr>
              <w:t xml:space="preserve"> flaring emission enforcement guidelines.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>Central Pollution Control Board (CPCB)</w:t>
            </w:r>
            <w:r>
              <w:rPr>
                <w:rFonts w:ascii="Calibri" w:hAnsi="Calibri"/>
                <w:sz w:val="22"/>
              </w:rPr>
              <w:t xml:space="preserve"> online continuous emission monitoring system (OCEMS) requirements.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>Petroleum &amp; Natural Gas Regulatory Board (PNGRB)</w:t>
            </w:r>
            <w:r>
              <w:rPr>
                <w:rFonts w:ascii="Calibri" w:hAnsi="Calibri"/>
                <w:sz w:val="22"/>
              </w:rPr>
              <w:t xml:space="preserve"> safety and hazard containment regulations.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</w:t>
            </w:r>
            <w:r>
              <w:rPr>
                <w:rFonts w:ascii="Calibri" w:hAnsi="Calibri"/>
                <w:b/>
                <w:sz w:val="22"/>
              </w:rPr>
              <w:t>Disaster Management Act (2005)</w:t>
            </w:r>
            <w:r>
              <w:rPr>
                <w:rFonts w:ascii="Calibri" w:hAnsi="Calibri"/>
                <w:sz w:val="22"/>
              </w:rPr>
              <w:t xml:space="preserve"> and </w:t>
            </w:r>
            <w:r>
              <w:rPr>
                <w:rFonts w:ascii="Calibri" w:hAnsi="Calibri"/>
                <w:b/>
                <w:sz w:val="22"/>
              </w:rPr>
              <w:t>National Action Plan on Climate Change (NAPCC)</w:t>
            </w:r>
            <w:r>
              <w:rPr>
                <w:rFonts w:ascii="Calibri" w:hAnsi="Calibri"/>
                <w:sz w:val="22"/>
              </w:rPr>
              <w:t>.</w:t>
            </w:r>
          </w:p>
        </w:tc>
      </w:tr>
      <w:tr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Technology Longevity</w:t>
            </w:r>
          </w:p>
        </w:tc>
        <w:tc>
          <w:tcPr>
            <w:tcW w:type="dxa" w:w="482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Grounded in universal optical and thermodynamic laws (</w:t>
            </w:r>
            <w:r>
              <w:rPr>
                <w:rFonts w:ascii="Calibri" w:hAnsi="Calibri"/>
                <w:b/>
                <w:sz w:val="22"/>
              </w:rPr>
              <w:t>Planck's Blackbody Law, Stefan-Boltzmann, Wien's Displacement Law</w:t>
            </w:r>
            <w:r>
              <w:rPr>
                <w:rFonts w:ascii="Calibri" w:hAnsi="Calibri"/>
                <w:sz w:val="22"/>
              </w:rPr>
              <w:t>). Unlike pure deep-learning models vulnerable to data drift or framework deprecation, physics-based sub-pixel combustion equations remain scientifically sound and invariant across decades. Ready for future sensor integration (e.g., ISRO Oceansat/GISAT, JPSS-3).</w:t>
            </w:r>
          </w:p>
        </w:tc>
      </w:tr>
    </w:tbl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3. Challenges &amp; Risks Matrix: What Could Go Wrong &amp; How We Address It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Challenge / Risk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Risk Severity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How PyroSat Addresses It (Architecture &amp; Implementation)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1. Cloud / Monsoon Obscuration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High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Multi-Constellation Multi-Sensor Fusion: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Fuses thermal observations across </w:t>
            </w:r>
            <w:r>
              <w:rPr>
                <w:rFonts w:ascii="Calibri" w:hAnsi="Calibri"/>
                <w:b/>
                <w:sz w:val="22"/>
              </w:rPr>
              <w:t>5 orbiting spacecraft</w:t>
            </w:r>
            <w:r>
              <w:rPr>
                <w:rFonts w:ascii="Calibri" w:hAnsi="Calibri"/>
                <w:sz w:val="22"/>
              </w:rPr>
              <w:t>: VIIRS 375m on Suomi-NPP, NOAA-20, and NOAA-21, plus MODIS 1km on Terra and Aqua.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Day/night complementary passes provide 3–6 hour revisit overlaps across India.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Persistent historical thermal memory engine maintains facility baseline state even during temporary overcast intervals.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2. Orbital Revisit Gaps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Temporal Memory + Multi-Source Persistence Engine: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Implements a rolling </w:t>
            </w:r>
            <w:r>
              <w:rPr>
                <w:rFonts w:ascii="Calibri" w:hAnsi="Calibri"/>
                <w:b/>
                <w:sz w:val="22"/>
              </w:rPr>
              <w:t>90-day spatio-temporal persistence engine</w:t>
            </w:r>
            <w:r>
              <w:rPr>
                <w:rFonts w:ascii="Calibri" w:hAnsi="Calibri"/>
                <w:sz w:val="22"/>
              </w:rPr>
              <w:t xml:space="preserve"> tracking recurrence frequency, historical mean FRP (\mu), and dispersion baseline (\sigma).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Between satellite passes, facility risk state is projected using historical diurnal operating profiles and meteorological dispersion tracking.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SGP4 satellite orbital predictor calculates exact countdown to next satellite overpass per target facility.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3. False Negative / False Alarm Liability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Critical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5-Gate Adversarial Skeptic AI Falsification: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Candidate thermal anomalies must survive 5 sequential falsification tests before triggering alerts: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  1. </w:t>
            </w:r>
            <w:r>
              <w:rPr>
                <w:rFonts w:ascii="Calibri" w:hAnsi="Calibri"/>
                <w:i/>
                <w:sz w:val="22"/>
              </w:rPr>
              <w:t>Solar Glint Gate:</w:t>
            </w:r>
            <w:r>
              <w:rPr>
                <w:rFonts w:ascii="Calibri" w:hAnsi="Calibri"/>
                <w:sz w:val="22"/>
              </w:rPr>
              <w:t xml:space="preserve"> Rejects daytime specular reflection from metal roofs/solar panels.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  2. </w:t>
            </w:r>
            <w:r>
              <w:rPr>
                <w:rFonts w:ascii="Calibri" w:hAnsi="Calibri"/>
                <w:i/>
                <w:sz w:val="22"/>
              </w:rPr>
              <w:t>Planck Combustion Gate:</w:t>
            </w:r>
            <w:r>
              <w:rPr>
                <w:rFonts w:ascii="Calibri" w:hAnsi="Calibri"/>
                <w:sz w:val="22"/>
              </w:rPr>
              <w:t xml:space="preserve"> Rejects non-combustion artifacts where resolved T_f &lt; 650\text{ K}.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  3. </w:t>
            </w:r>
            <w:r>
              <w:rPr>
                <w:rFonts w:ascii="Calibri" w:hAnsi="Calibri"/>
                <w:i/>
                <w:sz w:val="22"/>
              </w:rPr>
              <w:t>Canopy Fuel Gate:</w:t>
            </w:r>
            <w:r>
              <w:rPr>
                <w:rFonts w:ascii="Calibri" w:hAnsi="Calibri"/>
                <w:sz w:val="22"/>
              </w:rPr>
              <w:t xml:space="preserve"> Differentiates biomass fuels via Sentinel-2 NDVI &gt; 0.55.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  4. </w:t>
            </w:r>
            <w:r>
              <w:rPr>
                <w:rFonts w:ascii="Calibri" w:hAnsi="Calibri"/>
                <w:i/>
                <w:sz w:val="22"/>
              </w:rPr>
              <w:t>Permitted Baseline Gate:</w:t>
            </w:r>
            <w:r>
              <w:rPr>
                <w:rFonts w:ascii="Calibri" w:hAnsi="Calibri"/>
                <w:sz w:val="22"/>
              </w:rPr>
              <w:t xml:space="preserve"> Suppresses routine permitted flaring operating within \mu \pm 2\sigma.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  5. </w:t>
            </w:r>
            <w:r>
              <w:rPr>
                <w:rFonts w:ascii="Calibri" w:hAnsi="Calibri"/>
                <w:i/>
                <w:sz w:val="22"/>
              </w:rPr>
              <w:t>Transient Glitch Gate:</w:t>
            </w:r>
            <w:r>
              <w:rPr>
                <w:rFonts w:ascii="Calibri" w:hAnsi="Calibri"/>
                <w:sz w:val="22"/>
              </w:rPr>
              <w:t xml:space="preserve"> Filters single-pixel ephemeral noise without temporal corroboration.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4. Data Source Availability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Medium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Modular Ingestion Pipeline &amp; Local Fallback Buffering: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Micro-service ingestion pipeline is fully decoupled behind an abstract provider interface.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Supports hot-swapping or fallbacks between NASA FIRMS REST API, direct FTP/SFTP downloads, ESA Copernicus Open Access Hub, and ISRO Bhuvan WMS feeds.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In case of remote upstream delays, the system operates on cached rolling 7-day telemetry snapshots without pipeline stalling.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5. Model Bias / Misclassification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High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26-Dimensional Feature Representation &amp; TreeSHAP Auditability: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Eliminates simplistic "proximity = fire" heuristics through a </w:t>
            </w:r>
            <w:r>
              <w:rPr>
                <w:rFonts w:ascii="Calibri" w:hAnsi="Calibri"/>
                <w:b/>
                <w:sz w:val="22"/>
              </w:rPr>
              <w:t>26-dimensional multi-modal feature vector</w:t>
            </w:r>
            <w:r>
              <w:rPr>
                <w:rFonts w:ascii="Calibri" w:hAnsi="Calibri"/>
                <w:sz w:val="22"/>
              </w:rPr>
              <w:t xml:space="preserve"> (radiometric physics, O(\log N) BallTree spatial infrastructure distances, 90-day persistence, and ESA WorldCover LULC / Sentinel-2 surface reflectance).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 xml:space="preserve">• Every classification computes exact </w:t>
            </w:r>
            <w:r>
              <w:rPr>
                <w:rFonts w:ascii="Calibri" w:hAnsi="Calibri"/>
                <w:b/>
                <w:sz w:val="22"/>
              </w:rPr>
              <w:t>Lundberg TreeSHAP Shapley values</w:t>
            </w:r>
            <w:r>
              <w:rPr>
                <w:rFonts w:ascii="Calibri" w:hAnsi="Calibri"/>
                <w:sz w:val="22"/>
              </w:rPr>
              <w:t xml:space="preserve"> (\sum \phi_i + \phi_0 = f(x)), producing a mathematically auditable evidentiary trail that exposes any latent bias or feature anomaly before dispatch.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6. Sustained Funding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Low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Zero-Data-Cost Architecture &amp; Scalable Deployment Tiers: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Total reliance on open-access scientific datasets guarantees zero recurring satellite imagery procurement expenditure.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Ultra-low compute overhead allows the entire national system to run on standard ₹12–18 lakh/yr cloud infrastructure or free government servers (NIC/MeitY/ISRO).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Multi-stream commercialization (enterprise industrial facility subscriptions, environmental audit reporting) enables self-sustaining revenue beyond government grants.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7. Market Competition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Low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Domain-Specific Physics Grounding vs. Generic Hotspot Viewers: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Generic satellite viewers (FIRMS, Global Forest Watch) merely render raw thermal dots without semantic context or chemical hazard awareness.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Academic/hackathon models commit the circular ground-truth trap using proximity heuristics.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PyroSat uniquely provides: sub-pixel flame temperature resolution, 5-gate skeptic falsification, Briggs atmospheric dispersion modeling, CAMEO/NIOSH HazMat integration, and automated Incident Action Plan generation.</w:t>
            </w:r>
          </w:p>
        </w:tc>
      </w:tr>
      <w:tr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8. Policy Changes &amp; Data Access Shifts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22"/>
              </w:rPr>
              <w:t>Low</w:t>
            </w:r>
          </w:p>
        </w:tc>
        <w:tc>
          <w:tcPr>
            <w:tcW w:type="dxa" w:w="321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2"/>
              </w:rPr>
              <w:t>Data Source Abstraction &amp; Standards Compliance: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Modular adapters isolate data schemas from core inference logic.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Designed in strict conformance with OGC (Open Geospatial Consortium) standards (WMS, GeoJSON) and Indian open data directives (NDSAP).</w:t>
            </w:r>
          </w:p>
          <w:p>
            <w:pPr>
              <w:spacing w:before="20" w:after="20"/>
            </w:pPr>
            <w:r>
              <w:rPr>
                <w:rFonts w:ascii="Calibri" w:hAnsi="Calibri"/>
                <w:sz w:val="22"/>
              </w:rPr>
              <w:t>• Seamlessly ingests ISRO data formats (Cartosat, Resourcesat, Oceansat) via standard NetCDF/HDF5 adapters.</w:t>
            </w:r>
          </w:p>
        </w:tc>
      </w:tr>
    </w:tbl>
    <w:p>
      <w:pPr>
        <w:spacing w:before="120" w:after="120"/>
      </w:pPr>
      <w:r>
        <w:rPr>
          <w:color w:val="C8C8C8"/>
        </w:rPr>
        <w:t>―――――――――――――――――――――――――――――――――――――――――――――――――――――――</w:t>
      </w:r>
    </w:p>
    <w:p>
      <w:pPr>
        <w:pStyle w:val="Heading2"/>
        <w:keepNext/>
        <w:spacing w:before="280" w:after="80"/>
      </w:pPr>
      <w:r>
        <w:rPr>
          <w:rFonts w:ascii="Calibri" w:hAnsi="Calibri"/>
          <w:b/>
          <w:color w:val="C2410C"/>
          <w:sz w:val="30"/>
        </w:rPr>
        <w:t>4. Key Takeaways for SIH Evaluators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Every identified risk has an active architectural defense:</w:t>
      </w:r>
      <w:r>
        <w:rPr>
          <w:rFonts w:ascii="Calibri" w:hAnsi="Calibri"/>
          <w:sz w:val="22"/>
        </w:rPr>
        <w:t xml:space="preserve"> We do not rely on hopeful assumptions. Each vulnerability (cloud cover, orbital revisit gaps, false alarms, model opacity) is paired with a concrete, implemented, and benchmark-tested engineering module.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Deterministic Verification:</w:t>
      </w:r>
      <w:r>
        <w:rPr>
          <w:rFonts w:ascii="Calibri" w:hAnsi="Calibri"/>
          <w:sz w:val="22"/>
        </w:rPr>
        <w:t xml:space="preserve"> The 5-Gate Skeptic AI and Dozier Pyrometry pipeline has been validated deterministically across 6 canonical Indian industrial benchmarks under SHA-256 cryptographic check (</w:t>
      </w:r>
      <w:r>
        <w:rPr>
          <w:rFonts w:ascii="Consolas" w:hAnsi="Consolas"/>
          <w:color w:val="B42828"/>
          <w:sz w:val="19"/>
        </w:rPr>
        <w:t>scripts/run_sih_benchmark_replay.mjs</w:t>
      </w:r>
      <w:r>
        <w:rPr>
          <w:rFonts w:ascii="Calibri" w:hAnsi="Calibri"/>
          <w:sz w:val="22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2"/>
        </w:rPr>
        <w:t>Emergency-Grade Reliability:</w:t>
      </w:r>
      <w:r>
        <w:rPr>
          <w:rFonts w:ascii="Calibri" w:hAnsi="Calibri"/>
          <w:sz w:val="22"/>
        </w:rPr>
        <w:t xml:space="preserve"> By reducing false alarms from 68% to &lt;15% while delivering actionable Incident Action Plans in under 60 seconds, PyroSat bridges the critical operational divide between orbital satellite observations and tactical ground-level disaster response.</w:t>
      </w:r>
    </w:p>
    <w:sectPr w:rsidR="00FC693F" w:rsidRPr="0006063C" w:rsidSect="00034616">
      <w:head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PyroSat — SIH 2026 | NTRO (SIH26162) | Team: Thinkers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