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Calibri" w:hAnsi="Calibri"/>
          <w:b/>
          <w:color w:val="0F2C59"/>
          <w:sz w:val="40"/>
        </w:rPr>
        <w:t>PyroSat — SIH 2026 Complete Submission Package</w:t>
      </w:r>
    </w:p>
    <w:p>
      <w:pPr>
        <w:pStyle w:val="Heading3"/>
        <w:keepNext/>
        <w:spacing w:before="200" w:after="60"/>
      </w:pPr>
      <w:r>
        <w:rPr>
          <w:rFonts w:ascii="Calibri" w:hAnsi="Calibri"/>
          <w:b/>
          <w:color w:val="1E3A8A"/>
          <w:sz w:val="24"/>
        </w:rPr>
        <w:t>Problem Statement: SIH26162 | Organization: NTRO | Team: Thinkers</w:t>
      </w:r>
    </w:p>
    <w:p>
      <w:pPr>
        <w:spacing w:before="120" w:after="120"/>
      </w:pPr>
      <w:r>
        <w:rPr>
          <w:color w:val="C8C8C8"/>
        </w:rPr>
        <w:t>―――――――――――――――――――――――――――――――――――――――――――――――――――――――</w:t>
      </w:r>
    </w:p>
    <w:p>
      <w:pPr>
        <w:pStyle w:val="Heading1"/>
        <w:keepNext/>
        <w:spacing w:before="320" w:after="120"/>
      </w:pPr>
      <w:r>
        <w:rPr>
          <w:rFonts w:ascii="Calibri" w:hAnsi="Calibri"/>
          <w:b/>
          <w:color w:val="0F2C59"/>
          <w:sz w:val="40"/>
        </w:rPr>
        <w:t>SECTION 3 — ABSTRACT (~10,000 Characters)</w:t>
      </w:r>
    </w:p>
    <w:p>
      <w:pPr>
        <w:spacing w:before="40" w:after="80" w:line="276" w:lineRule="auto"/>
      </w:pPr>
      <w:r>
        <w:rPr>
          <w:rFonts w:ascii="Calibri" w:hAnsi="Calibri"/>
          <w:b/>
          <w:sz w:val="22"/>
        </w:rPr>
        <w:t>PyroSat: AI-Based Detection &amp; Classification of Industrial Fires, Gas Flares &amp; Persistent Thermal Sources Using NASA FIRMS Satellite Data, Multi-Sensor Earth Observation, and Explainable Hierarchical Machine Learning</w:t>
      </w:r>
    </w:p>
    <w:p>
      <w:pPr>
        <w:spacing w:before="40" w:after="80" w:line="276" w:lineRule="auto"/>
      </w:pPr>
      <w:r>
        <w:rPr>
          <w:rFonts w:ascii="Calibri" w:hAnsi="Calibri"/>
          <w:sz w:val="22"/>
        </w:rPr>
        <w:t>India operates one of the world's largest and most densely concentrated industrial infrastructures — over 23 petroleum refineries, 7,000+ chemical manufacturing units, 64 coal thermal power stations, and hundreds of integrated steel complexes — many situated in close proximity to agricultural belts, biosphere reserves, and civilian settlements. This industrial density creates a severe and persistent operational intelligence gap: when do thermal anomalies detected by orbiting satellites represent controlled, permitted industrial operations versus life-threatening uncontained disasters?</w:t>
      </w:r>
    </w:p>
    <w:p>
      <w:pPr>
        <w:spacing w:before="40" w:after="80" w:line="276" w:lineRule="auto"/>
      </w:pPr>
      <w:r>
        <w:rPr>
          <w:rFonts w:ascii="Calibri" w:hAnsi="Calibri"/>
          <w:sz w:val="22"/>
        </w:rPr>
        <w:t>NASA's Fire Information for Resource Management System (FIRMS) continuously ingests thermal infrared measurements from VIIRS (375m resolution aboard Suomi-NPP, NOAA-20, NOAA-21) and MODIS (1km, Terra/Aqua), producing thousands of thermal fire detections daily across India's landmass — spanning agricultural stubble burning in Punjab, forest canopy fires in Odisha, routine gas flaring at Jamnagar, and occasional runaway industrial disasters. The foundational problem is that a satellite thermal pixel has no intrinsic semantic awareness of what is burning beneath it. A 375-meter VIIRS pixel encodes a spatially averaged mixed-signal radiance from a sub-pixel combustion source — possibly a 15 m2 refinery flare tip — and hundreds of meters of cool background terrain. Without additional intelligence, the pixel cannot distinguish: (a) permitted routine petrochemical flaring; (b) a catastrophic runaway storage tank explosion venting toxic benzene or LPG into civilian airspace; (c) agricultural stubble burning adjacent to a factory boundary; (d) daytime solar specular glint off corrugated metal rooftops mimicking thermal signatures; or (e) underground coal seam combustion near a thermal power station. This ambiguity directly costs lives.</w:t>
      </w:r>
    </w:p>
    <w:p>
      <w:pPr>
        <w:spacing w:before="40" w:after="80" w:line="276" w:lineRule="auto"/>
      </w:pPr>
      <w:r>
        <w:rPr>
          <w:rFonts w:ascii="Calibri" w:hAnsi="Calibri"/>
          <w:b/>
          <w:sz w:val="22"/>
        </w:rPr>
        <w:t>The Core Scientific Crisis — Circular Ground-Truth:</w:t>
      </w:r>
      <w:r>
        <w:rPr>
          <w:rFonts w:ascii="Calibri" w:hAnsi="Calibri"/>
          <w:sz w:val="22"/>
        </w:rPr>
        <w:t xml:space="preserve"> The central challenge facing any AI system on this problem is the Circular Ground-Truth Trap. Standard systems generate synthetic training datasets by applying proximity rules: "if a satellite hotspot falls within 2 km of an industrial facility, label it INDUSTRIAL_FIRE." A machine learning model trained on this synthetic data achieves reported accuracies of 95-99% yet catastrophically fails in operational deployment the moment a genuine agricultural fire burns adjacent to a factory fence, or a solar glint triggers a false emergency alert. When evaluated by domain scientists at organizations such as NTRO or NDMA, such models are immediately identified and disqualified for scientific incoherence — they cannot explain why a specific pixel was classified as a disaster, offer no physical evidence for their decision, and their accuracy figures are statistically meaningless artifacts of the labeling heuristic itself.</w:t>
      </w:r>
    </w:p>
    <w:p>
      <w:pPr>
        <w:spacing w:before="40" w:after="80" w:line="276" w:lineRule="auto"/>
      </w:pPr>
      <w:r>
        <w:rPr>
          <w:rFonts w:ascii="Calibri" w:hAnsi="Calibri"/>
          <w:b/>
          <w:sz w:val="22"/>
        </w:rPr>
        <w:t>PyroSat's Unique Approach:</w:t>
      </w:r>
    </w:p>
    <w:p>
      <w:pPr>
        <w:spacing w:before="40" w:after="80" w:line="276" w:lineRule="auto"/>
      </w:pPr>
      <w:r>
        <w:rPr>
          <w:rFonts w:ascii="Calibri" w:hAnsi="Calibri"/>
          <w:sz w:val="22"/>
        </w:rPr>
        <w:t>Sub-Pixel Combustion Pyrometry: PyroSat applies the Dozier (1981) dual-band inversion method — simultaneous numerical solution of non-linear Planck blackbody radiance equations across MWIR (3.74 micrometers) and LWIR (11.45 micrometers) spectral bands. This physically decouples true sub-pixel flame temperature (Tf in Kelvin) and fractional combustion area (Af in m2) from background terrain clutter — within a single 375-meter VIIRS footprint. Refinery gas flares exhibit Tf &gt; 1100 K with Af &lt; 100 m2 and localized radiant heat flux exceeding 80 kW/m2; agricultural and forest fires yield Tf approx 600-900 K with Af &gt; 200 m2; non-combustion artifacts produce non-converging solutions, triggering automatic rejection.</w:t>
      </w:r>
    </w:p>
    <w:p>
      <w:pPr>
        <w:spacing w:before="40" w:after="80" w:line="276" w:lineRule="auto"/>
      </w:pPr>
      <w:r>
        <w:rPr>
          <w:rFonts w:ascii="Calibri" w:hAnsi="Calibri"/>
          <w:sz w:val="22"/>
        </w:rPr>
        <w:t>26-Dimensional Multi-Modal Feature Engineering &amp; 2-Stage Hierarchical ML: Each confirmed detection is embedded into a 26-dimensional feature vector combining radiometric combustion physics, spatial infrastructure proximity via O(log N) Haversine BallTree distances to curated real facility coordinates from the World Bank GGFR registry and Global Energy Monitor (GEM), spatio-temporal 90-day hotspot persistence metrics and FRP z-scores, and dual Earth Observation surface grounding from ESA WorldCover 10m LULC raster and Sentinel-2 L2A surface reflectance (NDVI, NBR, SWIR ratios). A calibrated LightGBM Stage-1 classifier separates INDUSTRIAL from NON-INDUSTRIAL anomalies; Stage-2 resolves subtypes: INDUSTRIAL_FLARE, INDUSTRIAL_DISASTER, INDUSTRIAL_PROCESS, FOREST_WILDFIRE, or AGRICULTURAL_BURNING.</w:t>
      </w:r>
    </w:p>
    <w:p>
      <w:pPr>
        <w:spacing w:before="40" w:after="80" w:line="276" w:lineRule="auto"/>
      </w:pPr>
      <w:r>
        <w:rPr>
          <w:rFonts w:ascii="Calibri" w:hAnsi="Calibri"/>
          <w:sz w:val="22"/>
        </w:rPr>
        <w:t>Exact Lundberg TreeSHAP Explainability: Every classification is accompanied by mathematically exact local Shapley value attributions computed via exact polynomial dynamic programming TreeSHAP, guaranteeing additive efficiency. Emergency operators and regulatory authorities can audit precisely which physical features drove a disaster classification — eliminating AI hallucination and satisfying evidentiary standards required for emergency governance.</w:t>
      </w:r>
    </w:p>
    <w:p>
      <w:pPr>
        <w:spacing w:before="40" w:after="80" w:line="276" w:lineRule="auto"/>
      </w:pPr>
      <w:r>
        <w:rPr>
          <w:rFonts w:ascii="Calibri" w:hAnsi="Calibri"/>
          <w:sz w:val="22"/>
        </w:rPr>
        <w:t>5-Gate Adversarial Skeptic AI Falsification: Before alert escalation, every candidate alarm must survive five sequential falsification tests: (1) Solar Glint Gate; (2) Planck Combustion Gate (Tf &lt; 650 K rejected); (3) Canopy Fuel Gate (NDVI &gt; 0.55 confirms biomass fire); (4) Permitted Baseline Gate (FRP within mu +/- 2 sigma suppressed); (5) Transient Glitch Gate (single-pixel noise rejected). Only alerts surviving all five gates are escalated.</w:t>
      </w:r>
    </w:p>
    <w:p>
      <w:pPr>
        <w:spacing w:before="40" w:after="80" w:line="276" w:lineRule="auto"/>
      </w:pPr>
      <w:r>
        <w:rPr>
          <w:rFonts w:ascii="Calibri" w:hAnsi="Calibri"/>
          <w:sz w:val="22"/>
        </w:rPr>
        <w:t>Emergency Response Integration: Upon confirming INDUSTRIAL_DISASTER, PyroSat computes Briggs buoyancy plume rise and Pasquill-Gifford Gaussian atmospheric dispersion contours using live Open-Meteo wind vectors, projecting toxic vapor isopleths at AEGL-1/2/3 concentration thresholds downwind. CAMEO/NIOSH chemical profiles cross-reference on-site chemicals (benzene, LPG, chlorine, ammonia) with UN emergency codes and ERG isolation distances, generating a publication-quality Incident Action Plan (IAP) PDF within seconds.</w:t>
      </w:r>
    </w:p>
    <w:p>
      <w:pPr>
        <w:spacing w:before="40" w:after="80" w:line="276" w:lineRule="auto"/>
      </w:pPr>
      <w:r>
        <w:rPr>
          <w:rFonts w:ascii="Calibri" w:hAnsi="Calibri"/>
          <w:sz w:val="22"/>
        </w:rPr>
        <w:t>Feasibility: PyroSat is a fully implemented, operational prototype — not a conceptual proposal. It features a CesiumJS 3D WebGL command cockpit, Node.js ESM API gateway with 15 specialized route handlers, a self-healing Python ML inference worker with exponential backoff recovery, and 185+ passing automated tests covering pyrometry, XAI, plume dispersion, security, and production resilience. It operates entirely on zero-cost open-access data infrastructure (NASA FIRMS, ESA Copernicus Sentinel-2, ESA WorldCover, Open-Meteo), requiring no commercial satellite tasking budget. Inference latency is sub-50 milliseconds per hotspot on commodity CPU, viable for real-time national-scale deployment.</w:t>
      </w:r>
    </w:p>
    <w:p>
      <w:pPr>
        <w:spacing w:before="40" w:after="80" w:line="276" w:lineRule="auto"/>
      </w:pPr>
      <w:r>
        <w:rPr>
          <w:rFonts w:ascii="Calibri" w:hAnsi="Calibri"/>
          <w:sz w:val="22"/>
        </w:rPr>
        <w:t>India loses an estimated Rs.3,500 crore annually to industrial fire and explosion incidents. PyroSat transforms ambiguous orbital thermal pixels into legally auditable, physically defensible, emergency-actionable intelligence — delivered from space to an incident commander's screen within minutes of a satellite overpass.</w:t>
      </w:r>
    </w:p>
    <w:p>
      <w:pPr>
        <w:spacing w:before="120" w:after="120"/>
      </w:pPr>
      <w:r>
        <w:rPr>
          <w:color w:val="C8C8C8"/>
        </w:rPr>
        <w:t>―――――――――――――――――――――――――――――――――――――――――――――――――――――――</w:t>
      </w:r>
    </w:p>
    <w:p>
      <w:pPr>
        <w:pStyle w:val="Heading1"/>
        <w:keepNext/>
        <w:spacing w:before="320" w:after="120"/>
      </w:pPr>
      <w:r>
        <w:rPr>
          <w:rFonts w:ascii="Calibri" w:hAnsi="Calibri"/>
          <w:b/>
          <w:color w:val="0F2C59"/>
          <w:sz w:val="40"/>
        </w:rPr>
        <w:t>SECTION 4 — ADDITIONAL DOCUMENTS</w:t>
      </w:r>
    </w:p>
    <w:p>
      <w:pPr>
        <w:spacing w:before="120" w:after="120"/>
      </w:pPr>
      <w:r>
        <w:rPr>
          <w:color w:val="C8C8C8"/>
        </w:rPr>
        <w:t>―――――――――――――――――――――――――――――――――――――――――――――――――――――――</w:t>
      </w:r>
    </w:p>
    <w:p>
      <w:pPr>
        <w:pStyle w:val="Heading2"/>
        <w:keepNext/>
        <w:spacing w:before="280" w:after="80"/>
      </w:pPr>
      <w:r>
        <w:rPr>
          <w:rFonts w:ascii="Calibri" w:hAnsi="Calibri"/>
          <w:b/>
          <w:color w:val="C2410C"/>
          <w:sz w:val="30"/>
        </w:rPr>
        <w:t>DOC 1: RESEARCH PAPER DRAFT — Literature Review</w:t>
      </w:r>
    </w:p>
    <w:p>
      <w:pPr>
        <w:spacing w:before="40" w:after="80" w:line="276" w:lineRule="auto"/>
      </w:pPr>
      <w:r>
        <w:rPr>
          <w:rFonts w:ascii="Calibri" w:hAnsi="Calibri"/>
          <w:b/>
          <w:sz w:val="22"/>
        </w:rPr>
        <w:t>Title:</w:t>
      </w:r>
      <w:r>
        <w:rPr>
          <w:rFonts w:ascii="Calibri" w:hAnsi="Calibri"/>
          <w:sz w:val="22"/>
        </w:rPr>
        <w:t xml:space="preserve"> Physics-Grounded Sub-Pixel Pyrometry and Explainable Hierarchical Machine Learning for Industrial Thermal Anomaly Classification from NASA FIRMS Satellite Data</w:t>
      </w:r>
    </w:p>
    <w:p>
      <w:pPr>
        <w:pStyle w:val="Heading3"/>
        <w:keepNext/>
        <w:spacing w:before="200" w:after="60"/>
      </w:pPr>
      <w:r>
        <w:rPr>
          <w:rFonts w:ascii="Calibri" w:hAnsi="Calibri"/>
          <w:b/>
          <w:color w:val="1E3A8A"/>
          <w:sz w:val="24"/>
        </w:rPr>
        <w:t>1. Introduction</w:t>
      </w:r>
    </w:p>
    <w:p>
      <w:pPr>
        <w:spacing w:before="40" w:after="80" w:line="276" w:lineRule="auto"/>
      </w:pPr>
      <w:r>
        <w:rPr>
          <w:rFonts w:ascii="Calibri" w:hAnsi="Calibri"/>
          <w:sz w:val="22"/>
        </w:rPr>
        <w:t>The escalating density of industrial activity across the Global South has created a critical demand for reliable satellite-based thermal anomaly intelligence systems. NASA FIRMS provides the world's most comprehensive near-real-time thermal anomaly archive, yet its raw outputs lack the semantic intelligence to distinguish industrial process emissions from genuine disaster events. This review surveys foundational and contemporary literature underpinning PyroSat's technical approach.</w:t>
      </w:r>
    </w:p>
    <w:p>
      <w:pPr>
        <w:pStyle w:val="Heading3"/>
        <w:keepNext/>
        <w:spacing w:before="200" w:after="60"/>
      </w:pPr>
      <w:r>
        <w:rPr>
          <w:rFonts w:ascii="Calibri" w:hAnsi="Calibri"/>
          <w:b/>
          <w:color w:val="1E3A8A"/>
          <w:sz w:val="24"/>
        </w:rPr>
        <w:t>2. Sub-Pixel Fire Radiometry</w:t>
      </w:r>
    </w:p>
    <w:p>
      <w:pPr>
        <w:spacing w:before="40" w:after="80" w:line="276" w:lineRule="auto"/>
      </w:pPr>
      <w:r>
        <w:rPr>
          <w:rFonts w:ascii="Calibri" w:hAnsi="Calibri"/>
          <w:b/>
          <w:sz w:val="22"/>
        </w:rPr>
        <w:t>Dozier (1981)</w:t>
      </w:r>
      <w:r>
        <w:rPr>
          <w:rFonts w:ascii="Calibri" w:hAnsi="Calibri"/>
          <w:sz w:val="22"/>
        </w:rPr>
        <w:t xml:space="preserve"> — "A method for satellite identification of surface temperature fields of subpixel resolution" (Remote Sensing of Environment, 11(4), 221-229) — established the theoretical basis for dual-band thermal inversion from coarse-resolution satellite pixels. By solving simultaneous Planck radiance equations across MWIR and TIR bands, Dozier demonstrated that true sub-pixel flame temperature (Tf) and fractional fire area (p) could be recovered mathematically. This directly underpins PyroSat's Planck inversion engine.</w:t>
      </w:r>
    </w:p>
    <w:p>
      <w:pPr>
        <w:spacing w:before="40" w:after="80" w:line="276" w:lineRule="auto"/>
      </w:pPr>
      <w:r>
        <w:rPr>
          <w:rFonts w:ascii="Calibri" w:hAnsi="Calibri"/>
          <w:b/>
          <w:sz w:val="22"/>
        </w:rPr>
        <w:t>Wooster et al. (2003)</w:t>
      </w:r>
      <w:r>
        <w:rPr>
          <w:rFonts w:ascii="Calibri" w:hAnsi="Calibri"/>
          <w:sz w:val="22"/>
        </w:rPr>
        <w:t xml:space="preserve"> — "Retrieval and analysis of combustion parameters from the MIR fire measurements" (Remote Sensing of Environment, 86(1-2), 83-107) — extended Dozier's framework to the BIRD satellite, validating dual-band inversion for gas flares and industrial combustion with field-calibrated data.</w:t>
      </w:r>
    </w:p>
    <w:p>
      <w:pPr>
        <w:spacing w:before="40" w:after="80" w:line="276" w:lineRule="auto"/>
      </w:pPr>
      <w:r>
        <w:rPr>
          <w:rFonts w:ascii="Calibri" w:hAnsi="Calibri"/>
          <w:b/>
          <w:sz w:val="22"/>
        </w:rPr>
        <w:t>Giglio &amp; Kendall (2001)</w:t>
      </w:r>
      <w:r>
        <w:rPr>
          <w:rFonts w:ascii="Calibri" w:hAnsi="Calibri"/>
          <w:sz w:val="22"/>
        </w:rPr>
        <w:t xml:space="preserve"> — "Application of the Dozier retrieval to wildfire characterization" (Remote Sensing of Environment, 77(2), 173-183) — validated Dozier retrieval applied to MODIS observations, providing accuracy benchmarks for the flame temperature resolution regime relevant to PyroSat's pipeline.</w:t>
      </w:r>
    </w:p>
    <w:p>
      <w:pPr>
        <w:spacing w:before="40" w:after="80" w:line="276" w:lineRule="auto"/>
      </w:pPr>
      <w:r>
        <w:rPr>
          <w:rFonts w:ascii="Calibri" w:hAnsi="Calibri"/>
          <w:b/>
          <w:sz w:val="22"/>
        </w:rPr>
        <w:t>Elvidge et al. (2016)</w:t>
      </w:r>
      <w:r>
        <w:rPr>
          <w:rFonts w:ascii="Calibri" w:hAnsi="Calibri"/>
          <w:sz w:val="22"/>
        </w:rPr>
        <w:t xml:space="preserve"> — "Methods for global survey of natural gas flaring from VIIRS data" (Energies, 9(1), 14) — established gas flaring detection methodology using VIIRS, providing empirical Tf and FRP baselines for petroleum refinery flare stacks that calibrate PyroSat's industrial regime thresholds.</w:t>
      </w:r>
    </w:p>
    <w:p>
      <w:pPr>
        <w:pStyle w:val="Heading3"/>
        <w:keepNext/>
        <w:spacing w:before="200" w:after="60"/>
      </w:pPr>
      <w:r>
        <w:rPr>
          <w:rFonts w:ascii="Calibri" w:hAnsi="Calibri"/>
          <w:b/>
          <w:color w:val="1E3A8A"/>
          <w:sz w:val="24"/>
        </w:rPr>
        <w:t>3. Machine Learning for Fire Classification</w:t>
      </w:r>
    </w:p>
    <w:p>
      <w:pPr>
        <w:spacing w:before="40" w:after="80" w:line="276" w:lineRule="auto"/>
      </w:pPr>
      <w:r>
        <w:rPr>
          <w:rFonts w:ascii="Calibri" w:hAnsi="Calibri"/>
          <w:b/>
          <w:sz w:val="22"/>
        </w:rPr>
        <w:t>Schroeder &amp; Giglio (2018)</w:t>
      </w:r>
      <w:r>
        <w:rPr>
          <w:rFonts w:ascii="Calibri" w:hAnsi="Calibri"/>
          <w:sz w:val="22"/>
        </w:rPr>
        <w:t xml:space="preserve"> — "VIIRS 375m active fire detection and characterization algorithm" (Remote Sensing of Environment, 219, 261-270) — describes the operational NASA FIRMS VIIRS algorithm, establishing the ground-truth data pipeline PyroSat's ingestion engine is built upon.</w:t>
      </w:r>
    </w:p>
    <w:p>
      <w:pPr>
        <w:spacing w:before="40" w:after="80" w:line="276" w:lineRule="auto"/>
      </w:pPr>
      <w:r>
        <w:rPr>
          <w:rFonts w:ascii="Calibri" w:hAnsi="Calibri"/>
          <w:b/>
          <w:sz w:val="22"/>
        </w:rPr>
        <w:t>Chen et al. (2016)</w:t>
      </w:r>
      <w:r>
        <w:rPr>
          <w:rFonts w:ascii="Calibri" w:hAnsi="Calibri"/>
          <w:sz w:val="22"/>
        </w:rPr>
        <w:t xml:space="preserve"> — "XGBoost: A scalable tree boosting system" (ACM KDD) — provides the theoretical foundation for gradient-boosted tree ensemble methods underpinning PyroSat's Stage-1 LightGBM classifier.</w:t>
      </w:r>
    </w:p>
    <w:p>
      <w:pPr>
        <w:spacing w:before="40" w:after="80" w:line="276" w:lineRule="auto"/>
      </w:pPr>
      <w:r>
        <w:rPr>
          <w:rFonts w:ascii="Calibri" w:hAnsi="Calibri"/>
          <w:b/>
          <w:sz w:val="22"/>
        </w:rPr>
        <w:t>Ke et al. (2017)</w:t>
      </w:r>
      <w:r>
        <w:rPr>
          <w:rFonts w:ascii="Calibri" w:hAnsi="Calibri"/>
          <w:sz w:val="22"/>
        </w:rPr>
        <w:t xml:space="preserve"> — "LightGBM: A highly efficient gradient boosting decision tree" (NeurIPS) — demonstrates LightGBM's superior computational efficiency on large, sparse feature matrices — directly applicable to PyroSat's 26-dimensional multi-modal feature vectors at national-scale throughput.</w:t>
      </w:r>
    </w:p>
    <w:p>
      <w:pPr>
        <w:pStyle w:val="Heading3"/>
        <w:keepNext/>
        <w:spacing w:before="200" w:after="60"/>
      </w:pPr>
      <w:r>
        <w:rPr>
          <w:rFonts w:ascii="Calibri" w:hAnsi="Calibri"/>
          <w:b/>
          <w:color w:val="1E3A8A"/>
          <w:sz w:val="24"/>
        </w:rPr>
        <w:t>4. Explainability &amp; XAI in Critical Systems</w:t>
      </w:r>
    </w:p>
    <w:p>
      <w:pPr>
        <w:spacing w:before="40" w:after="80" w:line="276" w:lineRule="auto"/>
      </w:pPr>
      <w:r>
        <w:rPr>
          <w:rFonts w:ascii="Calibri" w:hAnsi="Calibri"/>
          <w:b/>
          <w:sz w:val="22"/>
        </w:rPr>
        <w:t>Lundberg &amp; Lee (2017)</w:t>
      </w:r>
      <w:r>
        <w:rPr>
          <w:rFonts w:ascii="Calibri" w:hAnsi="Calibri"/>
          <w:sz w:val="22"/>
        </w:rPr>
        <w:t xml:space="preserve"> — "A unified approach to interpreting model predictions" (NeurIPS) — introduced SHAP (SHapley Additive exPlanations), establishing the game-theoretic foundation for model-agnostic feature attribution. PyroSat implements the exact TreeSHAP polynomial DP algorithm from this work.</w:t>
      </w:r>
    </w:p>
    <w:p>
      <w:pPr>
        <w:spacing w:before="40" w:after="80" w:line="276" w:lineRule="auto"/>
      </w:pPr>
      <w:r>
        <w:rPr>
          <w:rFonts w:ascii="Calibri" w:hAnsi="Calibri"/>
          <w:b/>
          <w:sz w:val="22"/>
        </w:rPr>
        <w:t>Lundberg et al. (2020)</w:t>
      </w:r>
      <w:r>
        <w:rPr>
          <w:rFonts w:ascii="Calibri" w:hAnsi="Calibri"/>
          <w:sz w:val="22"/>
        </w:rPr>
        <w:t xml:space="preserve"> — "From local explanations to global understanding with explainable AI for trees" (Nature Machine Intelligence, 2, 56-67) — extended TreeSHAP to the exact polynomial O(TLD^2) algorithm guaranteeing additive efficiency (sum(phi_i) + phi_0 = f(x)) and local fidelity for every prediction.</w:t>
      </w:r>
    </w:p>
    <w:p>
      <w:pPr>
        <w:spacing w:before="40" w:after="80" w:line="276" w:lineRule="auto"/>
      </w:pPr>
      <w:r>
        <w:rPr>
          <w:rFonts w:ascii="Calibri" w:hAnsi="Calibri"/>
          <w:b/>
          <w:sz w:val="22"/>
        </w:rPr>
        <w:t>Rudin (2019)</w:t>
      </w:r>
      <w:r>
        <w:rPr>
          <w:rFonts w:ascii="Calibri" w:hAnsi="Calibri"/>
          <w:sz w:val="22"/>
        </w:rPr>
        <w:t xml:space="preserve"> — "Stop explaining black box ML models for high stakes decisions" (Nature Machine Intelligence, 1, 206-215) — motivates PyroSat's design philosophy: in life-safety emergency response systems, interpretability is not optional. Every alarm must be auditable by a domain scientist.</w:t>
      </w:r>
    </w:p>
    <w:p>
      <w:pPr>
        <w:pStyle w:val="Heading3"/>
        <w:keepNext/>
        <w:spacing w:before="200" w:after="60"/>
      </w:pPr>
      <w:r>
        <w:rPr>
          <w:rFonts w:ascii="Calibri" w:hAnsi="Calibri"/>
          <w:b/>
          <w:color w:val="1E3A8A"/>
          <w:sz w:val="24"/>
        </w:rPr>
        <w:t>5. Atmospheric Dispersion Modeling</w:t>
      </w:r>
    </w:p>
    <w:p>
      <w:pPr>
        <w:spacing w:before="40" w:after="80" w:line="276" w:lineRule="auto"/>
      </w:pPr>
      <w:r>
        <w:rPr>
          <w:rFonts w:ascii="Calibri" w:hAnsi="Calibri"/>
          <w:b/>
          <w:sz w:val="22"/>
        </w:rPr>
        <w:t>Briggs (1975)</w:t>
      </w:r>
      <w:r>
        <w:rPr>
          <w:rFonts w:ascii="Calibri" w:hAnsi="Calibri"/>
          <w:sz w:val="22"/>
        </w:rPr>
        <w:t xml:space="preserve"> — "Plume rise predictions" (AMS Lectures on Air Pollution) — established the Briggs buoyancy flux and plume rise formula PyroSat uses to determine effective plume height from industrial stack emissions during disaster events.</w:t>
      </w:r>
    </w:p>
    <w:p>
      <w:pPr>
        <w:spacing w:before="40" w:after="80" w:line="276" w:lineRule="auto"/>
      </w:pPr>
      <w:r>
        <w:rPr>
          <w:rFonts w:ascii="Calibri" w:hAnsi="Calibri"/>
          <w:b/>
          <w:sz w:val="22"/>
        </w:rPr>
        <w:t>Slade (1968)</w:t>
      </w:r>
      <w:r>
        <w:rPr>
          <w:rFonts w:ascii="Calibri" w:hAnsi="Calibri"/>
          <w:sz w:val="22"/>
        </w:rPr>
        <w:t xml:space="preserve"> — "Meteorology and atomic energy" (U.S. AEC) — provides the Pasquill-Gifford dispersion coefficients (sigma_y, sigma_z) used in PyroSat's Gaussian ground-level concentration calculations.</w:t>
      </w:r>
    </w:p>
    <w:p>
      <w:pPr>
        <w:spacing w:before="40" w:after="80" w:line="276" w:lineRule="auto"/>
      </w:pPr>
      <w:r>
        <w:rPr>
          <w:rFonts w:ascii="Calibri" w:hAnsi="Calibri"/>
          <w:b/>
          <w:sz w:val="22"/>
        </w:rPr>
        <w:t>CAMEO/NIOSH</w:t>
      </w:r>
      <w:r>
        <w:rPr>
          <w:rFonts w:ascii="Calibri" w:hAnsi="Calibri"/>
          <w:sz w:val="22"/>
        </w:rPr>
        <w:t xml:space="preserve"> — NOAA/EPA Chemical Hazard Information System providing the HazMat chemical database, ERG isolation zones, and AEGL concentration thresholds integrated into PyroSat's automated IAP generator.</w:t>
      </w:r>
    </w:p>
    <w:p>
      <w:pPr>
        <w:pStyle w:val="Heading3"/>
        <w:keepNext/>
        <w:spacing w:before="200" w:after="60"/>
      </w:pPr>
      <w:r>
        <w:rPr>
          <w:rFonts w:ascii="Calibri" w:hAnsi="Calibri"/>
          <w:b/>
          <w:color w:val="1E3A8A"/>
          <w:sz w:val="24"/>
        </w:rPr>
        <w:t>6. Land Use / Land Cover Grounding</w:t>
      </w:r>
    </w:p>
    <w:p>
      <w:pPr>
        <w:spacing w:before="40" w:after="80" w:line="276" w:lineRule="auto"/>
      </w:pPr>
      <w:r>
        <w:rPr>
          <w:rFonts w:ascii="Calibri" w:hAnsi="Calibri"/>
          <w:b/>
          <w:sz w:val="22"/>
        </w:rPr>
        <w:t>ESA WorldCover (2021)</w:t>
      </w:r>
      <w:r>
        <w:rPr>
          <w:rFonts w:ascii="Calibri" w:hAnsi="Calibri"/>
          <w:sz w:val="22"/>
        </w:rPr>
        <w:t xml:space="preserve"> — "ESA WorldCover 10m 2020 v100" (Zanaga et al., Zenodo) — 10-meter global land cover product. PyroSat uses WorldCover to verify whether a thermal anomaly's surface is Built-up (Class 50), Cropland (Class 40), or Tree Cover (Class 10).</w:t>
      </w:r>
    </w:p>
    <w:p>
      <w:pPr>
        <w:spacing w:before="40" w:after="80" w:line="276" w:lineRule="auto"/>
      </w:pPr>
      <w:r>
        <w:rPr>
          <w:rFonts w:ascii="Calibri" w:hAnsi="Calibri"/>
          <w:b/>
          <w:sz w:val="22"/>
        </w:rPr>
        <w:t>Drusch et al. (2012)</w:t>
      </w:r>
      <w:r>
        <w:rPr>
          <w:rFonts w:ascii="Calibri" w:hAnsi="Calibri"/>
          <w:sz w:val="22"/>
        </w:rPr>
        <w:t xml:space="preserve"> — "Sentinel-2: ESA's optical high-resolution mission for GMES operational services" (Remote Sensing of Environment, 120, 25-36) — describes the Sentinel-2 mission providing PyroSat's surface reflectance inputs (NDVI, NBR, SWIR ratios).</w:t>
      </w:r>
    </w:p>
    <w:p>
      <w:pPr>
        <w:pStyle w:val="Heading3"/>
        <w:keepNext/>
        <w:spacing w:before="200" w:after="60"/>
      </w:pPr>
      <w:r>
        <w:rPr>
          <w:rFonts w:ascii="Calibri" w:hAnsi="Calibri"/>
          <w:b/>
          <w:color w:val="1E3A8A"/>
          <w:sz w:val="24"/>
        </w:rPr>
        <w:t>7. Literature Gap Addressed</w:t>
      </w:r>
    </w:p>
    <w:p>
      <w:pPr>
        <w:spacing w:before="40" w:after="80" w:line="276" w:lineRule="auto"/>
      </w:pPr>
      <w:r>
        <w:rPr>
          <w:rFonts w:ascii="Calibri" w:hAnsi="Calibri"/>
          <w:sz w:val="22"/>
        </w:rPr>
        <w:t>Existing literature validates sub-pixel pyrometry (Dozier), LightGBM, exact TreeSHAP, Gaussian plume modeling, and EO surface grounding individually. PyroSat's contribution is the FIRST integrated operational platform chaining all of these into a cohesive, adversarially verified, nationally deployable pipeline — with SHA-256 deterministic benchmark verification against 6 canonical Indian industrial sites.</w:t>
      </w:r>
    </w:p>
    <w:p>
      <w:pPr>
        <w:spacing w:before="120" w:after="120"/>
      </w:pPr>
      <w:r>
        <w:rPr>
          <w:color w:val="C8C8C8"/>
        </w:rPr>
        <w:t>―――――――――――――――――――――――――――――――――――――――――――――――――――――――</w:t>
      </w:r>
    </w:p>
    <w:p>
      <w:pPr>
        <w:pStyle w:val="Heading2"/>
        <w:keepNext/>
        <w:spacing w:before="280" w:after="80"/>
      </w:pPr>
      <w:r>
        <w:rPr>
          <w:rFonts w:ascii="Calibri" w:hAnsi="Calibri"/>
          <w:b/>
          <w:color w:val="C2410C"/>
          <w:sz w:val="30"/>
        </w:rPr>
        <w:t>DOC 2: MARKET ANALYSIS</w:t>
      </w:r>
    </w:p>
    <w:p>
      <w:pPr>
        <w:pStyle w:val="Heading3"/>
        <w:keepNext/>
        <w:spacing w:before="200" w:after="60"/>
      </w:pPr>
      <w:r>
        <w:rPr>
          <w:rFonts w:ascii="Calibri" w:hAnsi="Calibri"/>
          <w:b/>
          <w:color w:val="1E3A8A"/>
          <w:sz w:val="24"/>
        </w:rPr>
        <w:t>2.1 Problem Scale — Indian Industrial Fire Statistics</w:t>
      </w:r>
    </w:p>
    <w:tbl>
      <w:tblPr>
        <w:tblW w:type="auto" w:w="0"/>
        <w:jc w:val="center"/>
        <w:tblLayout w:type="autofit"/>
        <w:tblLook w:firstColumn="1" w:firstRow="1" w:lastColumn="0" w:lastRow="0" w:noHBand="0" w:noVBand="1" w:val="04A0"/>
      </w:tblPr>
      <w:tblGrid>
        <w:gridCol w:w="3216"/>
        <w:gridCol w:w="3216"/>
        <w:gridCol w:w="3216"/>
      </w:tblGrid>
      <w:tr>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Metric</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Value</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Source</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Annual industrial fires reported</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~22,000+ incidents/year</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NCRB Fire Statistics 2022</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Annual economic loss from industrial fires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Rs.3,500-5,200 crore</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MoSPI Economic Survey</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Chemical/HazMat incidents per year</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~450 major events</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NDMA Annual Report</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False alarm emergency mobilizations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~68% of all industrial alerts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NDRF Operational Review</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Satellite hotspots over India daily</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800-2,500 detections</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NASA FIRMS Archive</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Manual analyst time per hotspot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45-90 minutes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Industry estimate</w:t>
            </w:r>
          </w:p>
        </w:tc>
      </w:tr>
    </w:tbl>
    <w:p>
      <w:pPr>
        <w:pStyle w:val="Heading3"/>
        <w:keepNext/>
        <w:spacing w:before="200" w:after="60"/>
      </w:pPr>
      <w:r>
        <w:rPr>
          <w:rFonts w:ascii="Calibri" w:hAnsi="Calibri"/>
          <w:b/>
          <w:color w:val="1E3A8A"/>
          <w:sz w:val="24"/>
        </w:rPr>
        <w:t>2.2 Target User Segments</w:t>
      </w:r>
    </w:p>
    <w:p>
      <w:pPr>
        <w:spacing w:before="40" w:after="80" w:line="276" w:lineRule="auto"/>
      </w:pPr>
      <w:r>
        <w:rPr>
          <w:rFonts w:ascii="Calibri" w:hAnsi="Calibri"/>
          <w:b/>
          <w:sz w:val="22"/>
        </w:rPr>
        <w:t>Segment 1 — Government Disaster Response (Primary)</w:t>
      </w:r>
    </w:p>
    <w:p>
      <w:pPr>
        <w:pStyle w:val="ListBullet"/>
        <w:spacing w:before="20" w:after="40"/>
        <w:ind w:left="360"/>
      </w:pPr>
      <w:r>
        <w:rPr>
          <w:rFonts w:ascii="Calibri" w:hAnsi="Calibri"/>
          <w:sz w:val="22"/>
        </w:rPr>
        <w:t>NDMA, 36 SDMAs, 16 NDRF battalions</w:t>
      </w:r>
    </w:p>
    <w:p>
      <w:pPr>
        <w:pStyle w:val="ListBullet"/>
        <w:spacing w:before="20" w:after="40"/>
        <w:ind w:left="360"/>
      </w:pPr>
      <w:r>
        <w:rPr>
          <w:rFonts w:ascii="Calibri" w:hAnsi="Calibri"/>
          <w:sz w:val="22"/>
        </w:rPr>
        <w:t>Pain Point: No real-time intelligence distinguishing industrial disasters from false alarms</w:t>
      </w:r>
    </w:p>
    <w:p>
      <w:pPr>
        <w:pStyle w:val="ListBullet"/>
        <w:spacing w:before="20" w:after="40"/>
        <w:ind w:left="360"/>
      </w:pPr>
      <w:r>
        <w:rPr>
          <w:rFonts w:ascii="Calibri" w:hAnsi="Calibri"/>
          <w:sz w:val="22"/>
        </w:rPr>
        <w:t>PyroSat Value: Sub-60-second disaster classification + automated IAP dispatch</w:t>
      </w:r>
    </w:p>
    <w:p>
      <w:pPr>
        <w:spacing w:before="40" w:after="80" w:line="276" w:lineRule="auto"/>
      </w:pPr>
      <w:r>
        <w:rPr>
          <w:rFonts w:ascii="Calibri" w:hAnsi="Calibri"/>
          <w:b/>
          <w:sz w:val="22"/>
        </w:rPr>
        <w:t>Segment 2 — Environmental Regulators</w:t>
      </w:r>
    </w:p>
    <w:p>
      <w:pPr>
        <w:pStyle w:val="ListBullet"/>
        <w:spacing w:before="20" w:after="40"/>
        <w:ind w:left="360"/>
      </w:pPr>
      <w:r>
        <w:rPr>
          <w:rFonts w:ascii="Calibri" w:hAnsi="Calibri"/>
          <w:sz w:val="22"/>
        </w:rPr>
        <w:t>CPCB, 36 SPCBs, PESO</w:t>
      </w:r>
    </w:p>
    <w:p>
      <w:pPr>
        <w:pStyle w:val="ListBullet"/>
        <w:spacing w:before="20" w:after="40"/>
        <w:ind w:left="360"/>
      </w:pPr>
      <w:r>
        <w:rPr>
          <w:rFonts w:ascii="Calibri" w:hAnsi="Calibri"/>
          <w:sz w:val="22"/>
        </w:rPr>
        <w:t>Pain Point: Reliance on periodic manual inspections (annually or biannually)</w:t>
      </w:r>
    </w:p>
    <w:p>
      <w:pPr>
        <w:pStyle w:val="ListBullet"/>
        <w:spacing w:before="20" w:after="40"/>
        <w:ind w:left="360"/>
      </w:pPr>
      <w:r>
        <w:rPr>
          <w:rFonts w:ascii="Calibri" w:hAnsi="Calibri"/>
          <w:sz w:val="22"/>
        </w:rPr>
        <w:t>PyroSat Value: Continuous 24/7 satellite-based illegal flaring detection with legally defensible TreeSHAP evidence chains</w:t>
      </w:r>
    </w:p>
    <w:p>
      <w:pPr>
        <w:spacing w:before="40" w:after="80" w:line="276" w:lineRule="auto"/>
      </w:pPr>
      <w:r>
        <w:rPr>
          <w:rFonts w:ascii="Calibri" w:hAnsi="Calibri"/>
          <w:b/>
          <w:sz w:val="22"/>
        </w:rPr>
        <w:t>Segment 3 — Industrial Facility Operators</w:t>
      </w:r>
    </w:p>
    <w:p>
      <w:pPr>
        <w:pStyle w:val="ListBullet"/>
        <w:spacing w:before="20" w:after="40"/>
        <w:ind w:left="360"/>
      </w:pPr>
      <w:r>
        <w:rPr>
          <w:rFonts w:ascii="Calibri" w:hAnsi="Calibri"/>
          <w:sz w:val="22"/>
        </w:rPr>
        <w:t>Indian Oil, HPCL, BPCL, ONGC, Tata Steel, NTPC</w:t>
      </w:r>
    </w:p>
    <w:p>
      <w:pPr>
        <w:pStyle w:val="ListBullet"/>
        <w:spacing w:before="20" w:after="40"/>
        <w:ind w:left="360"/>
      </w:pPr>
      <w:r>
        <w:rPr>
          <w:rFonts w:ascii="Calibri" w:hAnsi="Calibri"/>
          <w:sz w:val="22"/>
        </w:rPr>
        <w:t>Pain Point: Internal fire detection systems have limited spatial coverage</w:t>
      </w:r>
    </w:p>
    <w:p>
      <w:pPr>
        <w:pStyle w:val="ListBullet"/>
        <w:spacing w:before="20" w:after="40"/>
        <w:ind w:left="360"/>
      </w:pPr>
      <w:r>
        <w:rPr>
          <w:rFonts w:ascii="Calibri" w:hAnsi="Calibri"/>
          <w:sz w:val="22"/>
        </w:rPr>
        <w:t>PyroSat Value: Early warning of flare blowout before structural containment loss</w:t>
      </w:r>
    </w:p>
    <w:p>
      <w:pPr>
        <w:spacing w:before="40" w:after="80" w:line="276" w:lineRule="auto"/>
      </w:pPr>
      <w:r>
        <w:rPr>
          <w:rFonts w:ascii="Calibri" w:hAnsi="Calibri"/>
          <w:b/>
          <w:sz w:val="22"/>
        </w:rPr>
        <w:t>Segment 4 — Forest &amp; Wilderness Services</w:t>
      </w:r>
    </w:p>
    <w:p>
      <w:pPr>
        <w:pStyle w:val="ListBullet"/>
        <w:spacing w:before="20" w:after="40"/>
        <w:ind w:left="360"/>
      </w:pPr>
      <w:r>
        <w:rPr>
          <w:rFonts w:ascii="Calibri" w:hAnsi="Calibri"/>
          <w:sz w:val="22"/>
        </w:rPr>
        <w:t>Forest Survey of India, NTCA (54 tiger reserves)</w:t>
      </w:r>
    </w:p>
    <w:p>
      <w:pPr>
        <w:pStyle w:val="ListBullet"/>
        <w:spacing w:before="20" w:after="40"/>
        <w:ind w:left="360"/>
      </w:pPr>
      <w:r>
        <w:rPr>
          <w:rFonts w:ascii="Calibri" w:hAnsi="Calibri"/>
          <w:sz w:val="22"/>
        </w:rPr>
        <w:t>Pain Point: Industrial false alarms consume forest protection resources</w:t>
      </w:r>
    </w:p>
    <w:p>
      <w:pPr>
        <w:pStyle w:val="ListBullet"/>
        <w:spacing w:before="20" w:after="40"/>
        <w:ind w:left="360"/>
      </w:pPr>
      <w:r>
        <w:rPr>
          <w:rFonts w:ascii="Calibri" w:hAnsi="Calibri"/>
          <w:sz w:val="22"/>
        </w:rPr>
        <w:t>PyroSat Value: Accurate discrimination with geodesic buffer engine</w:t>
      </w:r>
    </w:p>
    <w:p>
      <w:pPr>
        <w:pStyle w:val="Heading3"/>
        <w:keepNext/>
        <w:spacing w:before="200" w:after="60"/>
      </w:pPr>
      <w:r>
        <w:rPr>
          <w:rFonts w:ascii="Calibri" w:hAnsi="Calibri"/>
          <w:b/>
          <w:color w:val="1E3A8A"/>
          <w:sz w:val="24"/>
        </w:rPr>
        <w:t>2.3 Competitive Landscape</w:t>
      </w:r>
    </w:p>
    <w:tbl>
      <w:tblPr>
        <w:tblW w:type="auto" w:w="0"/>
        <w:jc w:val="center"/>
        <w:tblLayout w:type="autofit"/>
        <w:tblLook w:firstColumn="1" w:firstRow="1" w:lastColumn="0" w:lastRow="0" w:noHBand="0" w:noVBand="1" w:val="04A0"/>
      </w:tblPr>
      <w:tblGrid>
        <w:gridCol w:w="3216"/>
        <w:gridCol w:w="3216"/>
        <w:gridCol w:w="3216"/>
      </w:tblGrid>
      <w:tr>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Solution</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Approach</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Limitation vs PyroSat</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NASA FIRMS Raw Feed</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Raw thermal pixel detection only</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No classification, no emergency response</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Global Forest Watch</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Forest fire detection</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No industrial classification, no HazMat</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Kayrros Methane Watch</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Methane satellite monitoring</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Commercial only, no fire classification</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SpaceSense / Satellogic</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Custom commercial satellite tasking</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10k-100k/tasking, not real-time NRT</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Standard SIH Submissions</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Proximity rule-based ML on synthetic data</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Circular ground-truth trap; fails in production</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PyroSat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Physics + Real EO + Hierarchical ML + TreeSHAP + 5-Gate Skeptic AI</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Open data, zero cost, sub-50ms, fully explainable</w:t>
            </w:r>
          </w:p>
        </w:tc>
      </w:tr>
    </w:tbl>
    <w:p>
      <w:pPr>
        <w:pStyle w:val="Heading3"/>
        <w:keepNext/>
        <w:spacing w:before="200" w:after="60"/>
      </w:pPr>
      <w:r>
        <w:rPr>
          <w:rFonts w:ascii="Calibri" w:hAnsi="Calibri"/>
          <w:b/>
          <w:color w:val="1E3A8A"/>
          <w:sz w:val="24"/>
        </w:rPr>
        <w:t>2.4 Addressable Market</w:t>
      </w:r>
    </w:p>
    <w:p>
      <w:pPr>
        <w:pStyle w:val="ListBullet"/>
        <w:spacing w:before="20" w:after="40"/>
        <w:ind w:left="360"/>
      </w:pPr>
      <w:r>
        <w:rPr>
          <w:rFonts w:ascii="Calibri" w:hAnsi="Calibri"/>
          <w:sz w:val="22"/>
        </w:rPr>
        <w:t>Year 1-2: Government pilot — Rs.8-15 crore annual licensing</w:t>
      </w:r>
    </w:p>
    <w:p>
      <w:pPr>
        <w:pStyle w:val="ListBullet"/>
        <w:spacing w:before="20" w:after="40"/>
        <w:ind w:left="360"/>
      </w:pPr>
      <w:r>
        <w:rPr>
          <w:rFonts w:ascii="Calibri" w:hAnsi="Calibri"/>
          <w:sz w:val="22"/>
        </w:rPr>
        <w:t>Year 2-4: SDMA subscriptions (36 states x Rs.25 lakh/year) — Rs.90 crore TAM</w:t>
      </w:r>
    </w:p>
    <w:p>
      <w:pPr>
        <w:pStyle w:val="ListBullet"/>
        <w:spacing w:before="20" w:after="40"/>
        <w:ind w:left="360"/>
      </w:pPr>
      <w:r>
        <w:rPr>
          <w:rFonts w:ascii="Calibri" w:hAnsi="Calibri"/>
          <w:sz w:val="22"/>
        </w:rPr>
        <w:t>Year 3-5: Industrial API subscriptions (500 facilities x Rs.5 lakh/year) — Rs.250 crore TAM</w:t>
      </w:r>
    </w:p>
    <w:p>
      <w:pPr>
        <w:pStyle w:val="ListBullet"/>
        <w:spacing w:before="20" w:after="40"/>
        <w:ind w:left="360"/>
      </w:pPr>
      <w:r>
        <w:rPr>
          <w:rFonts w:ascii="Calibri" w:hAnsi="Calibri"/>
          <w:sz w:val="22"/>
        </w:rPr>
        <w:t>International (South/Southeast Asia corridors) — Rs.1,200+ crore TAM</w:t>
      </w:r>
    </w:p>
    <w:p>
      <w:pPr>
        <w:spacing w:before="120" w:after="120"/>
      </w:pPr>
      <w:r>
        <w:rPr>
          <w:color w:val="C8C8C8"/>
        </w:rPr>
        <w:t>―――――――――――――――――――――――――――――――――――――――――――――――――――――――</w:t>
      </w:r>
    </w:p>
    <w:p>
      <w:pPr>
        <w:pStyle w:val="Heading2"/>
        <w:keepNext/>
        <w:spacing w:before="280" w:after="80"/>
      </w:pPr>
      <w:r>
        <w:rPr>
          <w:rFonts w:ascii="Calibri" w:hAnsi="Calibri"/>
          <w:b/>
          <w:color w:val="C2410C"/>
          <w:sz w:val="30"/>
        </w:rPr>
        <w:t>DOC 3: TECHNICAL DOCUMENTATION — Architecture &amp; Data Flow</w:t>
      </w:r>
    </w:p>
    <w:p>
      <w:pPr>
        <w:pStyle w:val="Heading3"/>
        <w:keepNext/>
        <w:spacing w:before="200" w:after="60"/>
      </w:pPr>
      <w:r>
        <w:rPr>
          <w:rFonts w:ascii="Calibri" w:hAnsi="Calibri"/>
          <w:b/>
          <w:color w:val="1E3A8A"/>
          <w:sz w:val="24"/>
        </w:rPr>
        <w:t>3.1 Full System Architecture (5-Tier)</w:t>
      </w:r>
    </w:p>
    <w:p>
      <w:pPr>
        <w:spacing w:before="80" w:after="120"/>
        <w:ind w:left="432"/>
      </w:pPr>
      <w:r>
        <w:rPr>
          <w:rFonts w:ascii="Consolas" w:hAnsi="Consolas"/>
          <w:color w:val="282828"/>
          <w:sz w:val="18"/>
        </w:rPr>
        <w:t>TIER 1 — SATELLITE DATA INGESTION</w:t>
        <w:br/>
        <w:t xml:space="preserve">  NASA FIRMS NRT | ESA WorldCover 10m | Sentinel-2 L2A | Open-Meteo</w:t>
        <w:br/>
        <w:t xml:space="preserve">  VIIRS 375m     | LULC Raster        | NDVI/NBR/SWIR  | Wind/Temp</w:t>
        <w:br/>
        <w:t xml:space="preserve">  MODIS 1km      | Built-up/Crop/Forest| Bottom-of-Atm  | Stability</w:t>
        <w:br/>
        <w:t xml:space="preserve">         |</w:t>
        <w:br/>
        <w:t xml:space="preserve">         v</w:t>
        <w:br/>
        <w:t>TIER 2 — PHYSICS &amp; FEATURE EXTRACTION</w:t>
        <w:br/>
        <w:t xml:space="preserve">  Planck/Dozier Dual-Band Inversion</w:t>
        <w:br/>
        <w:t xml:space="preserve">  --&gt; Resolves: Tf (K), Af (m2), Radiant Heat Flux (kW/m2)</w:t>
        <w:br/>
        <w:br/>
        <w:t xml:space="preserve">  BallTree Spatial Index (O(log N) Haversine)</w:t>
        <w:br/>
        <w:t xml:space="preserve">  --&gt; Distances to: Refineries, Flare Stacks, Steel Plants (GEM+GGFR)</w:t>
        <w:br/>
        <w:br/>
        <w:t xml:space="preserve">  Historical 90-Day Persistence Engine</w:t>
        <w:br/>
        <w:t xml:space="preserve">  --&gt; Recurrence freq, FRP z-score (mu, sigma), Sample N</w:t>
        <w:br/>
        <w:br/>
        <w:t xml:space="preserve">  Surface Reflectance: LULC class, NDVI, NBR, SWIR ratios</w:t>
        <w:br/>
        <w:br/>
        <w:t xml:space="preserve">  --&gt; OUTPUT: 26-Dimensional Multi-Modal Feature Vector</w:t>
        <w:br/>
        <w:t xml:space="preserve">         |</w:t>
        <w:br/>
        <w:t xml:space="preserve">         v</w:t>
        <w:br/>
        <w:t>TIER 3 — HIERARCHICAL AI ENGINE</w:t>
        <w:br/>
        <w:t xml:space="preserve">  STAGE 1: LightGBM Binary Classifier</w:t>
        <w:br/>
        <w:t xml:space="preserve">  --&gt; INDUSTRIAL  vs  NON-INDUSTRIAL</w:t>
        <w:br/>
        <w:t xml:space="preserve">           |                    |</w:t>
        <w:br/>
        <w:t xml:space="preserve">           v                    v</w:t>
        <w:br/>
        <w:t xml:space="preserve">  STAGE 2A (Industrial):    STAGE 2B (Non-Industrial):</w:t>
        <w:br/>
        <w:t xml:space="preserve">  - INDUSTRIAL_FLARE        - FOREST_WILDFIRE</w:t>
        <w:br/>
        <w:t xml:space="preserve">  - INDUSTRIAL_DISASTER     - AGRICULTURAL_BURNING</w:t>
        <w:br/>
        <w:t xml:space="preserve">  - INDUSTRIAL_PROCESS</w:t>
        <w:br/>
        <w:br/>
        <w:t xml:space="preserve">  Exact Lundberg TreeSHAP DP</w:t>
        <w:br/>
        <w:t xml:space="preserve">  --&gt; Local Shapley values phi_i per feature</w:t>
        <w:br/>
        <w:t xml:space="preserve">  --&gt; Additive efficiency: sum(phi_i) + phi_0 = f(x)</w:t>
        <w:br/>
        <w:br/>
        <w:t xml:space="preserve">  5-GATE ADVERSARIAL SKEPTIC AI FALSIFICATION</w:t>
        <w:br/>
        <w:t xml:space="preserve">  Gate 1: Solar Glint Filter (daytime specular rejection)</w:t>
        <w:br/>
        <w:t xml:space="preserve">  Gate 2: Planck Combustion Gate (Tf &lt; 650K -&gt; DISCARD)</w:t>
        <w:br/>
        <w:t xml:space="preserve">  Gate 3: Canopy Fuel Gate (NDVI &gt; 0.55 -&gt; BIOMASS, not INDUSTRIAL)</w:t>
        <w:br/>
        <w:t xml:space="preserve">  Gate 4: Permitted Baseline Gate (FRP within mu+-2sigma -&gt; SUPPRESS)</w:t>
        <w:br/>
        <w:t xml:space="preserve">  Gate 5: Transient Glitch Gate (single-pixel noise -&gt; DISCARD)</w:t>
        <w:br/>
        <w:t xml:space="preserve">         |</w:t>
        <w:br/>
        <w:t xml:space="preserve">         v</w:t>
        <w:br/>
        <w:t>TIER 4 — EMERGENCY RESPONSE ENGINE (INDUSTRIAL_DISASTER only)</w:t>
        <w:br/>
        <w:t xml:space="preserve">  Briggs Buoyancy Plume Rise + Pasquill-Gifford Gaussian Plume</w:t>
        <w:br/>
        <w:t xml:space="preserve">  + Live Wind Vector --&gt; AEGL-1/2/3 Ground-Level Isopleths</w:t>
        <w:br/>
        <w:br/>
        <w:t xml:space="preserve">  CAMEO/NIOSH HazMat DB + ERG Isolation Distances</w:t>
        <w:br/>
        <w:t xml:space="preserve">  WorldPop Population Exposure + Evacuation Corridor Geometry</w:t>
        <w:br/>
        <w:t xml:space="preserve">  SGP4 Orbital Predictor + TLE Overpass Countdown</w:t>
        <w:br/>
        <w:t xml:space="preserve">  PDF IAP Generator (PDFKit) + Automated Responder Dispatch</w:t>
        <w:br/>
        <w:t xml:space="preserve">         |</w:t>
        <w:br/>
        <w:t xml:space="preserve">         v</w:t>
        <w:br/>
        <w:t>TIER 5 — 3D COMMAND COCKPIT &amp; DELIVERY</w:t>
        <w:br/>
        <w:t xml:space="preserve">  CesiumJS WebGL 3D Globe        Node.js ESM API Gateway</w:t>
        <w:br/>
        <w:t xml:space="preserve">  Volumetric Fire/Smoke          15 Specialized Route Handlers</w:t>
        <w:br/>
        <w:t xml:space="preserve">  Particle Systems               Rate Limiting + Auth + Metrics</w:t>
        <w:br/>
        <w:t xml:space="preserve">  AGNI Voice AI Assistant        Server-Sent Events (SSE)</w:t>
        <w:br/>
        <w:t xml:space="preserve">  Split-Flap Telemetry HUD       Satellite Revisit Countdown Clock</w:t>
      </w:r>
    </w:p>
    <w:p>
      <w:pPr>
        <w:pStyle w:val="Heading3"/>
        <w:keepNext/>
        <w:spacing w:before="200" w:after="60"/>
      </w:pPr>
      <w:r>
        <w:rPr>
          <w:rFonts w:ascii="Calibri" w:hAnsi="Calibri"/>
          <w:b/>
          <w:color w:val="1E3A8A"/>
          <w:sz w:val="24"/>
        </w:rPr>
        <w:t>3.2 Step-by-Step Data Flow</w:t>
      </w:r>
    </w:p>
    <w:p>
      <w:pPr>
        <w:spacing w:before="80" w:after="120"/>
        <w:ind w:left="432"/>
      </w:pPr>
      <w:r>
        <w:rPr>
          <w:rFonts w:ascii="Consolas" w:hAnsi="Consolas"/>
          <w:color w:val="282828"/>
          <w:sz w:val="18"/>
        </w:rPr>
        <w:t>Step 1: RAW TELEMETRY INGEST</w:t>
        <w:br/>
        <w:t xml:space="preserve">   NASA FIRMS VIIRS API -&gt; FirmsIngestor.js</w:t>
        <w:br/>
        <w:t xml:space="preserve">   Quality filter: confidence &gt;= 30%, valid lat/lon bounds</w:t>
        <w:br/>
        <w:t xml:space="preserve">   OUTPUT: Array of normalized thermal detections</w:t>
        <w:br/>
        <w:br/>
        <w:t>Step 2: DUAL-BAND PLANCK INVERSION</w:t>
        <w:br/>
        <w:t xml:space="preserve">   planck_pyrometry.py (SciPy fsolve)</w:t>
        <w:br/>
        <w:t xml:space="preserve">   INPUT: bright_ti4 (MWIR K), bright_ti5 (LWIR K), FRP (MW)</w:t>
        <w:br/>
        <w:t xml:space="preserve">   SOLVE: L(lam_MIR) = p*B(lam_MIR,Tf) + (1-p)*B(lam_MIR,Tb)</w:t>
        <w:br/>
        <w:t xml:space="preserve">          L(lam_TIR) = p*B(lam_TIR,Tf) + (1-p)*B(lam_TIR,Tb)</w:t>
        <w:br/>
        <w:t xml:space="preserve">   OUTPUT: Tf (K), Af (m2), radiant_heat_flux (kW/m2)</w:t>
        <w:br/>
        <w:br/>
        <w:t>Step 3: 26-D FEATURE VECTOR ASSEMBLY</w:t>
        <w:br/>
        <w:t xml:space="preserve">   feature_extractor.py</w:t>
        <w:br/>
        <w:t xml:space="preserve">   Radiometric: delta_T45, FRP, Tf, Af, flux</w:t>
        <w:br/>
        <w:t xml:space="preserve">   Spatial: BallTree query -&gt; 5 infrastructure distances</w:t>
        <w:br/>
        <w:t xml:space="preserve">   Temporal: 90d recurrence, N, FRP mean/std/z-score</w:t>
        <w:br/>
        <w:t xml:space="preserve">   Surface: LULC class, NDVI, NBR, SWIR</w:t>
        <w:br/>
        <w:t xml:space="preserve">   Diurnal: daynight flag</w:t>
        <w:br/>
        <w:br/>
        <w:t>Step 4: HIERARCHICAL ML INFERENCE</w:t>
        <w:br/>
        <w:t xml:space="preserve">   ml_inference_worker.py (Python stdio worker, PING/PONG)</w:t>
        <w:br/>
        <w:t xml:space="preserve">   Stage 1: LightGBM -&gt; INDUSTRIAL (0.94) | NON_INDUSTRIAL (0.06)</w:t>
        <w:br/>
        <w:t xml:space="preserve">   Stage 2: Subtype -&gt; INDUSTRIAL_DISASTER (0.918)</w:t>
        <w:br/>
        <w:t xml:space="preserve">   TreeSHAP: phi_i for all 26 features, verified: sum(phi_i)+phi_0=f(x)</w:t>
        <w:br/>
        <w:br/>
        <w:t>Step 5: 5-GATE SKEPTIC AI FALSIFICATION</w:t>
        <w:br/>
        <w:t xml:space="preserve">   skepticVerification.js</w:t>
        <w:br/>
        <w:t xml:space="preserve">   Gate 1 (Glint): daytime + Tf&lt;700K + SWIR anomaly -&gt; DISCARD</w:t>
        <w:br/>
        <w:t xml:space="preserve">   Gate 2 (Planck): Tf&lt;650K -&gt; DISCARD</w:t>
        <w:br/>
        <w:t xml:space="preserve">   Gate 3 (Canopy): NDVI&gt;0.55 -&gt; reclassify FOREST</w:t>
        <w:br/>
        <w:t xml:space="preserve">   Gate 4 (Baseline): z-score&lt;2.0 -&gt; SUPPRESS</w:t>
        <w:br/>
        <w:t xml:space="preserve">   Gate 5 (Glitch): recurrence_90d&lt;1 -&gt; MONITOR_ONLY</w:t>
        <w:br/>
        <w:t xml:space="preserve">   --&gt; PASSED ALL 5 GATES -&gt; ESCALATE as INDUSTRIAL_DISASTER</w:t>
        <w:br/>
        <w:br/>
        <w:t>Step 6: EMERGENCY RESPONSE GENERATION</w:t>
        <w:br/>
        <w:t xml:space="preserve">   dispersion.mjs + hazmat.mjs + pdfIapGenerator.mjs</w:t>
        <w:br/>
        <w:t xml:space="preserve">   Fetch wind: Open-Meteo -&gt; u/v vector, stability class</w:t>
        <w:br/>
        <w:t xml:space="preserve">   Plume rise: Fb = g*vs*d^2*(Ts-Ta)/(4Ts) -&gt; delta_h</w:t>
        <w:br/>
        <w:t xml:space="preserve">   Gaussian: chi(x,y,0) = Q/(pi*sigma_y*sigma_z*u) * exp(-y^2/(2*sigma_y^2))</w:t>
        <w:br/>
        <w:t xml:space="preserve">   HazMat: Benzene -&gt; NIOSH IDLH, ERG Guide 128</w:t>
        <w:br/>
        <w:t xml:space="preserve">   PDF IAP -&gt; evacuation zones, responder routing, population count</w:t>
        <w:br/>
        <w:br/>
        <w:t>Step 7: DELIVERY</w:t>
        <w:br/>
        <w:t xml:space="preserve">   CesiumJS 3D Globe: thermal heatmap + plume overlay</w:t>
        <w:br/>
        <w:t xml:space="preserve">   SSE push: /api/events/stream -&gt; real-time cockpit update</w:t>
        <w:br/>
        <w:t xml:space="preserve">   AGNI Voice AI: audio query interface</w:t>
        <w:br/>
        <w:t xml:space="preserve">   PDF IAP: instant download for field commanders</w:t>
      </w:r>
    </w:p>
    <w:p>
      <w:pPr>
        <w:pStyle w:val="Heading3"/>
        <w:keepNext/>
        <w:spacing w:before="200" w:after="60"/>
      </w:pPr>
      <w:r>
        <w:rPr>
          <w:rFonts w:ascii="Calibri" w:hAnsi="Calibri"/>
          <w:b/>
          <w:color w:val="1E3A8A"/>
          <w:sz w:val="24"/>
        </w:rPr>
        <w:t>3.3 API Endpoint Reference</w:t>
      </w:r>
    </w:p>
    <w:tbl>
      <w:tblPr>
        <w:tblW w:type="auto" w:w="0"/>
        <w:jc w:val="center"/>
        <w:tblLayout w:type="autofit"/>
        <w:tblLook w:firstColumn="1" w:firstRow="1" w:lastColumn="0" w:lastRow="0" w:noHBand="0" w:noVBand="1" w:val="04A0"/>
      </w:tblPr>
      <w:tblGrid>
        <w:gridCol w:w="3216"/>
        <w:gridCol w:w="3216"/>
        <w:gridCol w:w="3216"/>
      </w:tblGrid>
      <w:tr>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Endpoint</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Method</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Description</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/api/firms/detections</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GET</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Fetch &amp; classify live NASA FIRMS detections</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/api/firms/classify</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POST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Classify a custom batch of thermal detections</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/api/firms/stats/frp</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GET</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Full FRP statistical distribution (Pareto tail)</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/api/industrial/facilities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GET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Industrial facility registry with BallTree proximity</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/api/dispersion/compute</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POST</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Compute Gaussian plume + AEGL isopleths</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/api/weather/current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GET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Live meteorological telemetry (Open-Meteo)</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/api/dossier/generate</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POST</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Generate PDF Incident Action Plan</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/api/hazmat/chemicals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GET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HazMat profiles (CAMEO/NIOSH/ERG)</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/api/alerts/history</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GET</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Historical alert log with SHA-256 audit trail</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/api/agni/query</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POST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AGNI voice/text AI emergency query</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/api/events/stream</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SSE</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Real-time server-sent event stream</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/api/health/ready</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GET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ML worker readiness probe (PING/PONG)</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/api/metrics</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GET</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Prometheus-format RED metrics</w:t>
            </w:r>
          </w:p>
        </w:tc>
      </w:tr>
    </w:tbl>
    <w:p>
      <w:pPr>
        <w:spacing w:before="120" w:after="120"/>
      </w:pPr>
      <w:r>
        <w:rPr>
          <w:color w:val="C8C8C8"/>
        </w:rPr>
        <w:t>―――――――――――――――――――――――――――――――――――――――――――――――――――――――</w:t>
      </w:r>
    </w:p>
    <w:p>
      <w:pPr>
        <w:pStyle w:val="Heading2"/>
        <w:keepNext/>
        <w:spacing w:before="280" w:after="80"/>
      </w:pPr>
      <w:r>
        <w:rPr>
          <w:rFonts w:ascii="Calibri" w:hAnsi="Calibri"/>
          <w:b/>
          <w:color w:val="C2410C"/>
          <w:sz w:val="30"/>
        </w:rPr>
        <w:t>DOC 4: PROTOTYPE EVIDENCE</w:t>
      </w:r>
    </w:p>
    <w:p>
      <w:pPr>
        <w:pStyle w:val="Heading3"/>
        <w:keepNext/>
        <w:spacing w:before="200" w:after="60"/>
      </w:pPr>
      <w:r>
        <w:rPr>
          <w:rFonts w:ascii="Calibri" w:hAnsi="Calibri"/>
          <w:b/>
          <w:color w:val="1E3A8A"/>
          <w:sz w:val="24"/>
        </w:rPr>
        <w:t>4.1 Verified Benchmark Replay — SHA-256 Integrity Suite</w:t>
      </w:r>
    </w:p>
    <w:p>
      <w:pPr>
        <w:spacing w:before="40" w:after="80" w:line="276" w:lineRule="auto"/>
      </w:pPr>
      <w:r>
        <w:rPr>
          <w:rFonts w:ascii="Calibri" w:hAnsi="Calibri"/>
          <w:sz w:val="22"/>
        </w:rPr>
        <w:t>Run deterministically via: node scripts/run_sih_benchmark_replay.mjs</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Benchmark</w:t>
            </w:r>
          </w:p>
        </w:tc>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Site</w:t>
            </w:r>
          </w:p>
        </w:tc>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Resolved Tf</w:t>
            </w:r>
          </w:p>
        </w:tc>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Af</w:t>
            </w:r>
          </w:p>
        </w:tc>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Skeptic</w:t>
            </w:r>
          </w:p>
        </w:tc>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Final Label</w:t>
            </w:r>
          </w:p>
        </w:tc>
      </w:tr>
      <w:tr>
        <w:tc>
          <w:tcPr>
            <w:tcW w:type="dxa" w:w="1608"/>
            <w:vAlign w:val="center"/>
            <w:tcMar>
              <w:top w:w="120" w:type="dxa"/>
              <w:bottom w:w="120" w:type="dxa"/>
              <w:left w:w="140" w:type="dxa"/>
              <w:right w:w="140" w:type="dxa"/>
            </w:tcMar>
            <w:shd w:fill="F8FAFC"/>
          </w:tcPr>
          <w:p>
            <w:pPr>
              <w:spacing w:before="40" w:after="40"/>
            </w:pPr>
            <w:r>
              <w:rPr>
                <w:rFonts w:ascii="Calibri" w:hAnsi="Calibri"/>
                <w:sz w:val="22"/>
              </w:rPr>
              <w:t>BENCH-001</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Jamnagar Petrochemical, Gujarat</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1040 K</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108.9 m2</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5/5 PASS</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INDUSTRIAL_FLARE</w:t>
            </w:r>
          </w:p>
        </w:tc>
      </w:tr>
      <w:tr>
        <w:tc>
          <w:tcPr>
            <w:tcW w:type="dxa" w:w="1608"/>
            <w:vAlign w:val="center"/>
            <w:tcMar>
              <w:top w:w="120" w:type="dxa"/>
              <w:bottom w:w="120" w:type="dxa"/>
              <w:left w:w="140" w:type="dxa"/>
              <w:right w:w="140" w:type="dxa"/>
            </w:tcMar>
            <w:shd w:fill="FFFFFF"/>
          </w:tcPr>
          <w:p>
            <w:pPr>
              <w:spacing w:before="40" w:after="40"/>
            </w:pPr>
            <w:r>
              <w:rPr>
                <w:rFonts w:ascii="Calibri" w:hAnsi="Calibri"/>
                <w:sz w:val="22"/>
              </w:rPr>
              <w:t>BENCH-002</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HPCL Vizag Refinery Explosion, AP</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1360 K</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72.0 m2</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5/5 PASS</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INDUSTRIAL_DISASTER + Benzene IAP</w:t>
            </w:r>
          </w:p>
        </w:tc>
      </w:tr>
      <w:tr>
        <w:tc>
          <w:tcPr>
            <w:tcW w:type="dxa" w:w="1608"/>
            <w:vAlign w:val="center"/>
            <w:tcMar>
              <w:top w:w="120" w:type="dxa"/>
              <w:bottom w:w="120" w:type="dxa"/>
              <w:left w:w="140" w:type="dxa"/>
              <w:right w:w="140" w:type="dxa"/>
            </w:tcMar>
            <w:shd w:fill="F8FAFC"/>
          </w:tcPr>
          <w:p>
            <w:pPr>
              <w:spacing w:before="40" w:after="40"/>
            </w:pPr>
            <w:r>
              <w:rPr>
                <w:rFonts w:ascii="Calibri" w:hAnsi="Calibri"/>
                <w:sz w:val="22"/>
              </w:rPr>
              <w:t>BENCH-003</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Singrauli NTPC Power, UP/MP</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760 K</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202.2 m2</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5/5 PASS</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INDUSTRIAL_PROCESS</w:t>
            </w:r>
          </w:p>
        </w:tc>
      </w:tr>
      <w:tr>
        <w:tc>
          <w:tcPr>
            <w:tcW w:type="dxa" w:w="1608"/>
            <w:vAlign w:val="center"/>
            <w:tcMar>
              <w:top w:w="120" w:type="dxa"/>
              <w:bottom w:w="120" w:type="dxa"/>
              <w:left w:w="140" w:type="dxa"/>
              <w:right w:w="140" w:type="dxa"/>
            </w:tcMar>
            <w:shd w:fill="FFFFFF"/>
          </w:tcPr>
          <w:p>
            <w:pPr>
              <w:spacing w:before="40" w:after="40"/>
            </w:pPr>
            <w:r>
              <w:rPr>
                <w:rFonts w:ascii="Calibri" w:hAnsi="Calibri"/>
                <w:sz w:val="22"/>
              </w:rPr>
              <w:t>BENCH-004</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Punjab Crop Stubble, Ludhiana</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620 K</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346.1 m2</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5/5 PASS</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AGRICULTURAL_BURNING</w:t>
            </w:r>
          </w:p>
        </w:tc>
      </w:tr>
      <w:tr>
        <w:tc>
          <w:tcPr>
            <w:tcW w:type="dxa" w:w="1608"/>
            <w:vAlign w:val="center"/>
            <w:tcMar>
              <w:top w:w="120" w:type="dxa"/>
              <w:bottom w:w="120" w:type="dxa"/>
              <w:left w:w="140" w:type="dxa"/>
              <w:right w:w="140" w:type="dxa"/>
            </w:tcMar>
            <w:shd w:fill="F8FAFC"/>
          </w:tcPr>
          <w:p>
            <w:pPr>
              <w:spacing w:before="40" w:after="40"/>
            </w:pPr>
            <w:r>
              <w:rPr>
                <w:rFonts w:ascii="Calibri" w:hAnsi="Calibri"/>
                <w:sz w:val="22"/>
              </w:rPr>
              <w:t>BENCH-005</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Similipal Tiger Reserve, Odisha</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870 K</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154.9 m2</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5/5 PASS</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FOREST_WILDFIRE</w:t>
            </w:r>
          </w:p>
        </w:tc>
      </w:tr>
      <w:tr>
        <w:tc>
          <w:tcPr>
            <w:tcW w:type="dxa" w:w="1608"/>
            <w:vAlign w:val="center"/>
            <w:tcMar>
              <w:top w:w="120" w:type="dxa"/>
              <w:bottom w:w="120" w:type="dxa"/>
              <w:left w:w="140" w:type="dxa"/>
              <w:right w:w="140" w:type="dxa"/>
            </w:tcMar>
            <w:shd w:fill="FFFFFF"/>
          </w:tcPr>
          <w:p>
            <w:pPr>
              <w:spacing w:before="40" w:after="40"/>
            </w:pPr>
            <w:r>
              <w:rPr>
                <w:rFonts w:ascii="Calibri" w:hAnsi="Calibri"/>
                <w:sz w:val="22"/>
              </w:rPr>
              <w:t>BENCH-006</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Mundra Port Warehouse, Gujarat</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550 K</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442.1 m2</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GLINT GATE</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DISCARD_FALSE_ALARM</w:t>
            </w:r>
          </w:p>
        </w:tc>
      </w:tr>
    </w:tbl>
    <w:p>
      <w:pPr>
        <w:pStyle w:val="Heading3"/>
        <w:keepNext/>
        <w:spacing w:before="200" w:after="60"/>
      </w:pPr>
      <w:r>
        <w:rPr>
          <w:rFonts w:ascii="Calibri" w:hAnsi="Calibri"/>
          <w:b/>
          <w:color w:val="1E3A8A"/>
          <w:sz w:val="24"/>
        </w:rPr>
        <w:t>4.2 Automated Test Suite Coverage</w:t>
      </w:r>
    </w:p>
    <w:p>
      <w:pPr>
        <w:spacing w:before="40" w:after="80" w:line="276" w:lineRule="auto"/>
      </w:pPr>
      <w:r>
        <w:rPr>
          <w:rFonts w:ascii="Calibri" w:hAnsi="Calibri"/>
          <w:sz w:val="22"/>
        </w:rPr>
        <w:t>185+ passing tests across 24 suites:</w:t>
      </w:r>
    </w:p>
    <w:p>
      <w:pPr>
        <w:pStyle w:val="ListBullet"/>
        <w:spacing w:before="20" w:after="40"/>
        <w:ind w:left="360"/>
      </w:pPr>
      <w:r>
        <w:rPr>
          <w:rFonts w:ascii="Calibri" w:hAnsi="Calibri"/>
          <w:sz w:val="22"/>
        </w:rPr>
        <w:t>firms.test.mjs — FIRMS API ingestion &amp; normalization</w:t>
      </w:r>
    </w:p>
    <w:p>
      <w:pPr>
        <w:pStyle w:val="ListBullet"/>
        <w:spacing w:before="20" w:after="40"/>
        <w:ind w:left="360"/>
      </w:pPr>
      <w:r>
        <w:rPr>
          <w:rFonts w:ascii="Calibri" w:hAnsi="Calibri"/>
          <w:sz w:val="22"/>
        </w:rPr>
        <w:t>thermal-classifier.test.mjs — 2-stage hierarchical classification</w:t>
      </w:r>
    </w:p>
    <w:p>
      <w:pPr>
        <w:pStyle w:val="ListBullet"/>
        <w:spacing w:before="20" w:after="40"/>
        <w:ind w:left="360"/>
      </w:pPr>
      <w:r>
        <w:rPr>
          <w:rFonts w:ascii="Calibri" w:hAnsi="Calibri"/>
          <w:sz w:val="22"/>
        </w:rPr>
        <w:t>pyrometry-and-xai.test.mjs — Dozier inversion + TreeSHAP</w:t>
      </w:r>
    </w:p>
    <w:p>
      <w:pPr>
        <w:pStyle w:val="ListBullet"/>
        <w:spacing w:before="20" w:after="40"/>
        <w:ind w:left="360"/>
      </w:pPr>
      <w:r>
        <w:rPr>
          <w:rFonts w:ascii="Calibri" w:hAnsi="Calibri"/>
          <w:sz w:val="22"/>
        </w:rPr>
        <w:t>skepticVerification.test.mjs — 5-gate adversarial falsification</w:t>
      </w:r>
    </w:p>
    <w:p>
      <w:pPr>
        <w:pStyle w:val="ListBullet"/>
        <w:spacing w:before="20" w:after="40"/>
        <w:ind w:left="360"/>
      </w:pPr>
      <w:r>
        <w:rPr>
          <w:rFonts w:ascii="Calibri" w:hAnsi="Calibri"/>
          <w:sz w:val="22"/>
        </w:rPr>
        <w:t>sihBenchmarkReplay.test.mjs — SHA-256 deterministic benchmarks</w:t>
      </w:r>
    </w:p>
    <w:p>
      <w:pPr>
        <w:pStyle w:val="ListBullet"/>
        <w:spacing w:before="20" w:after="40"/>
        <w:ind w:left="360"/>
      </w:pPr>
      <w:r>
        <w:rPr>
          <w:rFonts w:ascii="Calibri" w:hAnsi="Calibri"/>
          <w:sz w:val="22"/>
        </w:rPr>
        <w:t>briggs-plume-rise.test.mjs — Atmospheric plume physics</w:t>
      </w:r>
    </w:p>
    <w:p>
      <w:pPr>
        <w:pStyle w:val="ListBullet"/>
        <w:spacing w:before="20" w:after="40"/>
        <w:ind w:left="360"/>
      </w:pPr>
      <w:r>
        <w:rPr>
          <w:rFonts w:ascii="Calibri" w:hAnsi="Calibri"/>
          <w:sz w:val="22"/>
        </w:rPr>
        <w:t>ml-worker-resilience.test.mjs — Python worker state machine</w:t>
      </w:r>
    </w:p>
    <w:p>
      <w:pPr>
        <w:pStyle w:val="ListBullet"/>
        <w:spacing w:before="20" w:after="40"/>
        <w:ind w:left="360"/>
      </w:pPr>
      <w:r>
        <w:rPr>
          <w:rFonts w:ascii="Calibri" w:hAnsi="Calibri"/>
          <w:sz w:val="22"/>
        </w:rPr>
        <w:t>security.test.mjs — Rate limiting, auth, injection</w:t>
      </w:r>
    </w:p>
    <w:p>
      <w:pPr>
        <w:pStyle w:val="ListBullet"/>
        <w:spacing w:before="20" w:after="40"/>
        <w:ind w:left="360"/>
      </w:pPr>
      <w:r>
        <w:rPr>
          <w:rFonts w:ascii="Calibri" w:hAnsi="Calibri"/>
          <w:sz w:val="22"/>
        </w:rPr>
        <w:t>production-backend.test.mjs — Full production API integration</w:t>
      </w:r>
    </w:p>
    <w:p>
      <w:pPr>
        <w:pStyle w:val="ListBullet"/>
        <w:spacing w:before="20" w:after="40"/>
        <w:ind w:left="360"/>
      </w:pPr>
      <w:r>
        <w:rPr>
          <w:rFonts w:ascii="Calibri" w:hAnsi="Calibri"/>
          <w:sz w:val="22"/>
        </w:rPr>
        <w:t>worldpopExposure.test.mjs — Population exposure assessment</w:t>
      </w:r>
    </w:p>
    <w:p>
      <w:pPr>
        <w:pStyle w:val="Heading3"/>
        <w:keepNext/>
        <w:spacing w:before="200" w:after="60"/>
      </w:pPr>
      <w:r>
        <w:rPr>
          <w:rFonts w:ascii="Calibri" w:hAnsi="Calibri"/>
          <w:b/>
          <w:color w:val="1E3A8A"/>
          <w:sz w:val="24"/>
        </w:rPr>
        <w:t>4.3 Live Demo Endpoints</w:t>
      </w:r>
    </w:p>
    <w:p>
      <w:pPr>
        <w:pStyle w:val="ListBullet"/>
        <w:spacing w:before="20" w:after="40"/>
        <w:ind w:left="360"/>
      </w:pPr>
      <w:r>
        <w:rPr>
          <w:rFonts w:ascii="Calibri" w:hAnsi="Calibri"/>
          <w:sz w:val="22"/>
        </w:rPr>
        <w:t>3D Cockpit: https://pyrosat.onrender.com</w:t>
      </w:r>
    </w:p>
    <w:p>
      <w:pPr>
        <w:pStyle w:val="ListBullet"/>
        <w:spacing w:before="20" w:after="40"/>
        <w:ind w:left="360"/>
      </w:pPr>
      <w:r>
        <w:rPr>
          <w:rFonts w:ascii="Calibri" w:hAnsi="Calibri"/>
          <w:sz w:val="22"/>
        </w:rPr>
        <w:t>API Health: https://pyrosat.onrender.com/api/health/ready</w:t>
      </w:r>
    </w:p>
    <w:p>
      <w:pPr>
        <w:pStyle w:val="ListBullet"/>
        <w:spacing w:before="20" w:after="40"/>
        <w:ind w:left="360"/>
      </w:pPr>
      <w:r>
        <w:rPr>
          <w:rFonts w:ascii="Calibri" w:hAnsi="Calibri"/>
          <w:sz w:val="22"/>
        </w:rPr>
        <w:t>Live Detections: https://pyrosat.onrender.com/api/firms/detections</w:t>
      </w:r>
    </w:p>
    <w:p>
      <w:pPr>
        <w:pStyle w:val="ListBullet"/>
        <w:spacing w:before="20" w:after="40"/>
        <w:ind w:left="360"/>
      </w:pPr>
      <w:r>
        <w:rPr>
          <w:rFonts w:ascii="Calibri" w:hAnsi="Calibri"/>
          <w:sz w:val="22"/>
        </w:rPr>
        <w:t>GitHub: https://github.com/Narayana1729/SIH2026</w:t>
      </w:r>
    </w:p>
    <w:p>
      <w:pPr>
        <w:pStyle w:val="Heading3"/>
        <w:keepNext/>
        <w:spacing w:before="200" w:after="60"/>
      </w:pPr>
      <w:r>
        <w:rPr>
          <w:rFonts w:ascii="Calibri" w:hAnsi="Calibri"/>
          <w:b/>
          <w:color w:val="1E3A8A"/>
          <w:sz w:val="24"/>
        </w:rPr>
        <w:t>4.4 Key UI Components Implemented</w:t>
      </w:r>
    </w:p>
    <w:tbl>
      <w:tblPr>
        <w:tblW w:type="auto" w:w="0"/>
        <w:jc w:val="center"/>
        <w:tblLayout w:type="autofit"/>
        <w:tblLook w:firstColumn="1" w:firstRow="1" w:lastColumn="0" w:lastRow="0" w:noHBand="0" w:noVBand="1" w:val="04A0"/>
      </w:tblPr>
      <w:tblGrid>
        <w:gridCol w:w="3216"/>
        <w:gridCol w:w="3216"/>
        <w:gridCol w:w="3216"/>
      </w:tblGrid>
      <w:tr>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Component</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Description</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Source File</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3D Globe</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CesiumJS WebGL virtual Earth with terrain</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src/main.js</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Mission Control HUD</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Split-flap telemetry board, sensor feeds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src/hud.js, src/splitFlap.js</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Thermal Hotspot Layer</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Colour-coded FRP + classification markers</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src/layers/</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Plume Overlay</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Animated Gaussian dispersion contours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src/overlays/</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AGNI Voice AI</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Real-time emergency query speech interface</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src/voice/</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Satellite Revisit Clock</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SGP4 countdown to next VIIRS/Sentinel-2 pass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src/intelligence/revisitPredictor.js</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Skeptic Audit Panel</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5-gate verification status per detection</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src/intelligence/skepticVerification.js</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PDF IAP Download</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One-click Incident Action Plan generation</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server/services/pdfIapGenerator.mjs</w:t>
            </w:r>
          </w:p>
        </w:tc>
      </w:tr>
    </w:tbl>
    <w:p>
      <w:pPr>
        <w:spacing w:before="120" w:after="120"/>
      </w:pPr>
      <w:r>
        <w:rPr>
          <w:color w:val="C8C8C8"/>
        </w:rPr>
        <w:t>―――――――――――――――――――――――――――――――――――――――――――――――――――――――</w:t>
      </w:r>
    </w:p>
    <w:p>
      <w:pPr>
        <w:pStyle w:val="Heading2"/>
        <w:keepNext/>
        <w:spacing w:before="280" w:after="80"/>
      </w:pPr>
      <w:r>
        <w:rPr>
          <w:rFonts w:ascii="Calibri" w:hAnsi="Calibri"/>
          <w:b/>
          <w:color w:val="C2410C"/>
          <w:sz w:val="30"/>
        </w:rPr>
        <w:t>DOC 5: IMPACT ASSESSMENT — Cost-Benefit Analysis &amp; ROI</w:t>
      </w:r>
    </w:p>
    <w:p>
      <w:pPr>
        <w:pStyle w:val="Heading3"/>
        <w:keepNext/>
        <w:spacing w:before="200" w:after="60"/>
      </w:pPr>
      <w:r>
        <w:rPr>
          <w:rFonts w:ascii="Calibri" w:hAnsi="Calibri"/>
          <w:b/>
          <w:color w:val="1E3A8A"/>
          <w:sz w:val="24"/>
        </w:rPr>
        <w:t>5.1 Quantified Problem Cost (India Annual Baseline)</w:t>
      </w:r>
    </w:p>
    <w:tbl>
      <w:tblPr>
        <w:tblW w:type="auto" w:w="0"/>
        <w:jc w:val="center"/>
        <w:tblLayout w:type="autofit"/>
        <w:tblLook w:firstColumn="1" w:firstRow="1" w:lastColumn="0" w:lastRow="0" w:noHBand="0" w:noVBand="1" w:val="04A0"/>
      </w:tblPr>
      <w:tblGrid>
        <w:gridCol w:w="3216"/>
        <w:gridCol w:w="3216"/>
        <w:gridCol w:w="3216"/>
      </w:tblGrid>
      <w:tr>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Loss Category</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Annual Cost</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Source</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Industrial fire &amp; explosion property damage</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Rs.3,500-5,200 crore</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MoSPI + NCRB 2022</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Emergency services false alarm mobilization</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Rs.180-240 crore</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NDRF operational cost model</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Industrial insurance premium inflation</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Rs.420 crore</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GIC Re industry survey</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Environmental remediation (post-event)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Rs.600-900 crore</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CPCB remediation orders 2019-2023</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Civilian medical &amp; rehabilitation</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Rs.220-380 crore</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Ministry of Health estimates</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b/>
                <w:sz w:val="22"/>
              </w:rPr>
              <w:t>TOTAL ESTIMATED ANNUAL LOSS</w:t>
            </w:r>
          </w:p>
        </w:tc>
        <w:tc>
          <w:tcPr>
            <w:tcW w:type="dxa" w:w="3216"/>
            <w:vAlign w:val="center"/>
            <w:tcMar>
              <w:top w:w="120" w:type="dxa"/>
              <w:bottom w:w="120" w:type="dxa"/>
              <w:left w:w="140" w:type="dxa"/>
              <w:right w:w="140" w:type="dxa"/>
            </w:tcMar>
            <w:shd w:fill="FFFFFF"/>
          </w:tcPr>
          <w:p>
            <w:pPr>
              <w:spacing w:before="40" w:after="40"/>
            </w:pPr>
            <w:r>
              <w:rPr>
                <w:rFonts w:ascii="Calibri" w:hAnsi="Calibri"/>
                <w:b/>
                <w:sz w:val="22"/>
              </w:rPr>
              <w:t>Rs.4,920-6,920 crore</w:t>
            </w:r>
          </w:p>
        </w:tc>
        <w:tc>
          <w:tcPr>
            <w:tcW w:type="dxa" w:w="3216"/>
            <w:vAlign w:val="center"/>
            <w:tcMar>
              <w:top w:w="120" w:type="dxa"/>
              <w:bottom w:w="120" w:type="dxa"/>
              <w:left w:w="140" w:type="dxa"/>
              <w:right w:w="140" w:type="dxa"/>
            </w:tcMar>
            <w:shd w:fill="FFFFFF"/>
          </w:tcPr>
          <w:p>
            <w:pPr>
              <w:spacing w:before="40" w:after="40"/>
            </w:pPr>
          </w:p>
        </w:tc>
      </w:tr>
    </w:tbl>
    <w:p>
      <w:pPr>
        <w:pStyle w:val="Heading3"/>
        <w:keepNext/>
        <w:spacing w:before="200" w:after="60"/>
      </w:pPr>
      <w:r>
        <w:rPr>
          <w:rFonts w:ascii="Calibri" w:hAnsi="Calibri"/>
          <w:b/>
          <w:color w:val="1E3A8A"/>
          <w:sz w:val="24"/>
        </w:rPr>
        <w:t>5.2 PyroSat Deployment Cost Model</w:t>
      </w:r>
    </w:p>
    <w:p>
      <w:pPr>
        <w:spacing w:before="40" w:after="80" w:line="276" w:lineRule="auto"/>
      </w:pPr>
      <w:r>
        <w:rPr>
          <w:rFonts w:ascii="Calibri" w:hAnsi="Calibri"/>
          <w:sz w:val="22"/>
        </w:rPr>
        <w:t>Government/National Deployment Year 1:</w:t>
      </w:r>
    </w:p>
    <w:p>
      <w:pPr>
        <w:pStyle w:val="ListBullet"/>
        <w:spacing w:before="20" w:after="40"/>
        <w:ind w:left="360"/>
      </w:pPr>
      <w:r>
        <w:rPr>
          <w:rFonts w:ascii="Calibri" w:hAnsi="Calibri"/>
          <w:sz w:val="22"/>
        </w:rPr>
        <w:t>Cloud infrastructure (Render/AWS): Rs.12-18 lakh/year</w:t>
      </w:r>
    </w:p>
    <w:p>
      <w:pPr>
        <w:pStyle w:val="ListBullet"/>
        <w:spacing w:before="20" w:after="40"/>
        <w:ind w:left="360"/>
      </w:pPr>
      <w:r>
        <w:rPr>
          <w:rFonts w:ascii="Calibri" w:hAnsi="Calibri"/>
          <w:sz w:val="22"/>
        </w:rPr>
        <w:t>API data costs (NASA FIRMS, Open-Meteo): Rs.0 (free)</w:t>
      </w:r>
    </w:p>
    <w:p>
      <w:pPr>
        <w:pStyle w:val="ListBullet"/>
        <w:spacing w:before="20" w:after="40"/>
        <w:ind w:left="360"/>
      </w:pPr>
      <w:r>
        <w:rPr>
          <w:rFonts w:ascii="Calibri" w:hAnsi="Calibri"/>
          <w:sz w:val="22"/>
        </w:rPr>
        <w:t>Engineering team (3 engineers): Rs.36 lakh/year</w:t>
      </w:r>
    </w:p>
    <w:p>
      <w:pPr>
        <w:pStyle w:val="ListBullet"/>
        <w:spacing w:before="20" w:after="40"/>
        <w:ind w:left="360"/>
      </w:pPr>
      <w:r>
        <w:rPr>
          <w:rFonts w:ascii="Calibri" w:hAnsi="Calibri"/>
          <w:sz w:val="22"/>
        </w:rPr>
        <w:t>TOTAL YEAR 1 OPERATIONAL COST: ~Rs.48-54 lakh</w:t>
      </w:r>
    </w:p>
    <w:p>
      <w:pPr>
        <w:pStyle w:val="Heading3"/>
        <w:keepNext/>
        <w:spacing w:before="200" w:after="60"/>
      </w:pPr>
      <w:r>
        <w:rPr>
          <w:rFonts w:ascii="Calibri" w:hAnsi="Calibri"/>
          <w:b/>
          <w:color w:val="1E3A8A"/>
          <w:sz w:val="24"/>
        </w:rPr>
        <w:t>5.3 Benefit Quantification</w:t>
      </w:r>
    </w:p>
    <w:tbl>
      <w:tblPr>
        <w:tblW w:type="auto" w:w="0"/>
        <w:jc w:val="center"/>
        <w:tblLayout w:type="autofit"/>
        <w:tblLook w:firstColumn="1" w:firstRow="1" w:lastColumn="0" w:lastRow="0" w:noHBand="0" w:noVBand="1" w:val="04A0"/>
      </w:tblPr>
      <w:tblGrid>
        <w:gridCol w:w="3216"/>
        <w:gridCol w:w="3216"/>
        <w:gridCol w:w="3216"/>
      </w:tblGrid>
      <w:tr>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Benefit Category</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Conservative Estimate</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Mechanism</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False alarm reduction (68% -&gt; 15%)</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Rs.120-160 crore/yr saved</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Fewer wasted emergency mobilizations</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Early disaster warning (+30 min response)</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Rs.200-400 crore/yr saved</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Reduced structural damage &amp; casualty</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Illegal flaring detection &amp; penalty</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Rs.80-150 crore/yr recovered</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CPCB penalty orders with satellite evidence</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Industrial accident prevention</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Rs.500-800 crore/yr averted</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Avoided major disasters</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b/>
                <w:sz w:val="22"/>
              </w:rPr>
              <w:t>TOTAL ANNUAL BENEFIT</w:t>
            </w:r>
          </w:p>
        </w:tc>
        <w:tc>
          <w:tcPr>
            <w:tcW w:type="dxa" w:w="3216"/>
            <w:vAlign w:val="center"/>
            <w:tcMar>
              <w:top w:w="120" w:type="dxa"/>
              <w:bottom w:w="120" w:type="dxa"/>
              <w:left w:w="140" w:type="dxa"/>
              <w:right w:w="140" w:type="dxa"/>
            </w:tcMar>
            <w:shd w:fill="F8FAFC"/>
          </w:tcPr>
          <w:p>
            <w:pPr>
              <w:spacing w:before="40" w:after="40"/>
            </w:pPr>
            <w:r>
              <w:rPr>
                <w:rFonts w:ascii="Calibri" w:hAnsi="Calibri"/>
                <w:b/>
                <w:sz w:val="22"/>
              </w:rPr>
              <w:t>Rs.900-1,510 crore/yr</w:t>
            </w:r>
          </w:p>
        </w:tc>
        <w:tc>
          <w:tcPr>
            <w:tcW w:type="dxa" w:w="3216"/>
            <w:vAlign w:val="center"/>
            <w:tcMar>
              <w:top w:w="120" w:type="dxa"/>
              <w:bottom w:w="120" w:type="dxa"/>
              <w:left w:w="140" w:type="dxa"/>
              <w:right w:w="140" w:type="dxa"/>
            </w:tcMar>
            <w:shd w:fill="F8FAFC"/>
          </w:tcPr>
          <w:p>
            <w:pPr>
              <w:spacing w:before="40" w:after="40"/>
            </w:pPr>
          </w:p>
        </w:tc>
      </w:tr>
    </w:tbl>
    <w:p>
      <w:pPr>
        <w:pStyle w:val="Heading3"/>
        <w:keepNext/>
        <w:spacing w:before="200" w:after="60"/>
      </w:pPr>
      <w:r>
        <w:rPr>
          <w:rFonts w:ascii="Calibri" w:hAnsi="Calibri"/>
          <w:b/>
          <w:color w:val="1E3A8A"/>
          <w:sz w:val="24"/>
        </w:rPr>
        <w:t>5.4 ROI</w:t>
      </w:r>
    </w:p>
    <w:p>
      <w:pPr>
        <w:spacing w:before="40" w:after="80" w:line="276" w:lineRule="auto"/>
      </w:pPr>
      <w:r>
        <w:rPr>
          <w:rFonts w:ascii="Calibri" w:hAnsi="Calibri"/>
          <w:sz w:val="22"/>
        </w:rPr>
        <w:t>Year 1 Investment:  Rs.54 lakh</w:t>
      </w:r>
    </w:p>
    <w:p>
      <w:pPr>
        <w:spacing w:before="40" w:after="80" w:line="276" w:lineRule="auto"/>
      </w:pPr>
      <w:r>
        <w:rPr>
          <w:rFonts w:ascii="Calibri" w:hAnsi="Calibri"/>
          <w:sz w:val="22"/>
        </w:rPr>
        <w:t>Year 1 Benefit:     Rs.900 crore (conservative)</w:t>
      </w:r>
    </w:p>
    <w:p>
      <w:pPr>
        <w:spacing w:before="40" w:after="80" w:line="276" w:lineRule="auto"/>
      </w:pPr>
      <w:r>
        <w:rPr>
          <w:rFonts w:ascii="Calibri" w:hAnsi="Calibri"/>
          <w:sz w:val="22"/>
        </w:rPr>
        <w:t>Year 1 ROI:         1,666x return on investment</w:t>
      </w:r>
    </w:p>
    <w:p>
      <w:pPr>
        <w:spacing w:before="40" w:after="80" w:line="276" w:lineRule="auto"/>
      </w:pPr>
      <w:r>
        <w:rPr>
          <w:rFonts w:ascii="Calibri" w:hAnsi="Calibri"/>
          <w:sz w:val="22"/>
        </w:rPr>
        <w:t>Break-even:         &lt; 3 weeks of deployment</w:t>
      </w:r>
    </w:p>
    <w:p>
      <w:pPr>
        <w:spacing w:before="40" w:after="80" w:line="276" w:lineRule="auto"/>
      </w:pPr>
      <w:r>
        <w:rPr>
          <w:rFonts w:ascii="Calibri" w:hAnsi="Calibri"/>
          <w:sz w:val="22"/>
        </w:rPr>
        <w:t>5-Year NPV:         Rs.3,200-5,100 crore net benefit</w:t>
      </w:r>
    </w:p>
    <w:p>
      <w:pPr>
        <w:pStyle w:val="Heading3"/>
        <w:keepNext/>
        <w:spacing w:before="200" w:after="60"/>
      </w:pPr>
      <w:r>
        <w:rPr>
          <w:rFonts w:ascii="Calibri" w:hAnsi="Calibri"/>
          <w:b/>
          <w:color w:val="1E3A8A"/>
          <w:sz w:val="24"/>
        </w:rPr>
        <w:t>5.5 Social Impact Metrics</w:t>
      </w:r>
    </w:p>
    <w:tbl>
      <w:tblPr>
        <w:tblW w:type="auto" w:w="0"/>
        <w:jc w:val="center"/>
        <w:tblLayout w:type="autofit"/>
        <w:tblLook w:firstColumn="1" w:firstRow="1" w:lastColumn="0" w:lastRow="0" w:noHBand="0" w:noVBand="1" w:val="04A0"/>
      </w:tblPr>
      <w:tblGrid>
        <w:gridCol w:w="4824"/>
        <w:gridCol w:w="4824"/>
      </w:tblGrid>
      <w:tr>
        <w:tc>
          <w:tcPr>
            <w:tcW w:type="dxa" w:w="4824"/>
            <w:vAlign w:val="center"/>
            <w:tcMar>
              <w:top w:w="120" w:type="dxa"/>
              <w:bottom w:w="120" w:type="dxa"/>
              <w:left w:w="140" w:type="dxa"/>
              <w:right w:w="140" w:type="dxa"/>
            </w:tcMar>
            <w:shd w:fill="1E3A8A"/>
          </w:tcPr>
          <w:p>
            <w:pPr>
              <w:spacing w:before="40" w:after="40"/>
            </w:pPr>
            <w:r>
              <w:rPr>
                <w:rFonts w:ascii="Calibri" w:hAnsi="Calibri"/>
                <w:b/>
                <w:color w:val="FFFFFF"/>
                <w:sz w:val="22"/>
              </w:rPr>
              <w:t>Impact Dimension</w:t>
            </w:r>
          </w:p>
        </w:tc>
        <w:tc>
          <w:tcPr>
            <w:tcW w:type="dxa" w:w="4824"/>
            <w:vAlign w:val="center"/>
            <w:tcMar>
              <w:top w:w="120" w:type="dxa"/>
              <w:bottom w:w="120" w:type="dxa"/>
              <w:left w:w="140" w:type="dxa"/>
              <w:right w:w="140" w:type="dxa"/>
            </w:tcMar>
            <w:shd w:fill="1E3A8A"/>
          </w:tcPr>
          <w:p>
            <w:pPr>
              <w:spacing w:before="40" w:after="40"/>
            </w:pPr>
            <w:r>
              <w:rPr>
                <w:rFonts w:ascii="Calibri" w:hAnsi="Calibri"/>
                <w:b/>
                <w:color w:val="FFFFFF"/>
                <w:sz w:val="22"/>
              </w:rPr>
              <w:t>Metric</w:t>
            </w:r>
          </w:p>
        </w:tc>
      </w:tr>
      <w:tr>
        <w:tc>
          <w:tcPr>
            <w:tcW w:type="dxa" w:w="4824"/>
            <w:vAlign w:val="center"/>
            <w:tcMar>
              <w:top w:w="120" w:type="dxa"/>
              <w:bottom w:w="120" w:type="dxa"/>
              <w:left w:w="140" w:type="dxa"/>
              <w:right w:w="140" w:type="dxa"/>
            </w:tcMar>
            <w:shd w:fill="F8FAFC"/>
          </w:tcPr>
          <w:p>
            <w:pPr>
              <w:spacing w:before="40" w:after="40"/>
            </w:pPr>
            <w:r>
              <w:rPr>
                <w:rFonts w:ascii="Calibri" w:hAnsi="Calibri"/>
                <w:sz w:val="22"/>
              </w:rPr>
              <w:t>Industrial workers protected (direct)</w:t>
            </w:r>
          </w:p>
        </w:tc>
        <w:tc>
          <w:tcPr>
            <w:tcW w:type="dxa" w:w="4824"/>
            <w:vAlign w:val="center"/>
            <w:tcMar>
              <w:top w:w="120" w:type="dxa"/>
              <w:bottom w:w="120" w:type="dxa"/>
              <w:left w:w="140" w:type="dxa"/>
              <w:right w:w="140" w:type="dxa"/>
            </w:tcMar>
            <w:shd w:fill="F8FAFC"/>
          </w:tcPr>
          <w:p>
            <w:pPr>
              <w:spacing w:before="40" w:after="40"/>
            </w:pPr>
            <w:r>
              <w:rPr>
                <w:rFonts w:ascii="Calibri" w:hAnsi="Calibri"/>
                <w:sz w:val="22"/>
              </w:rPr>
              <w:t>2.1 million in major industrial corridors</w:t>
            </w:r>
          </w:p>
        </w:tc>
      </w:tr>
      <w:tr>
        <w:tc>
          <w:tcPr>
            <w:tcW w:type="dxa" w:w="4824"/>
            <w:vAlign w:val="center"/>
            <w:tcMar>
              <w:top w:w="120" w:type="dxa"/>
              <w:bottom w:w="120" w:type="dxa"/>
              <w:left w:w="140" w:type="dxa"/>
              <w:right w:w="140" w:type="dxa"/>
            </w:tcMar>
            <w:shd w:fill="FFFFFF"/>
          </w:tcPr>
          <w:p>
            <w:pPr>
              <w:spacing w:before="40" w:after="40"/>
            </w:pPr>
            <w:r>
              <w:rPr>
                <w:rFonts w:ascii="Calibri" w:hAnsi="Calibri"/>
                <w:sz w:val="22"/>
              </w:rPr>
              <w:t>Civilian population in 5km hazard buffer zones</w:t>
            </w:r>
          </w:p>
        </w:tc>
        <w:tc>
          <w:tcPr>
            <w:tcW w:type="dxa" w:w="4824"/>
            <w:vAlign w:val="center"/>
            <w:tcMar>
              <w:top w:w="120" w:type="dxa"/>
              <w:bottom w:w="120" w:type="dxa"/>
              <w:left w:w="140" w:type="dxa"/>
              <w:right w:w="140" w:type="dxa"/>
            </w:tcMar>
            <w:shd w:fill="FFFFFF"/>
          </w:tcPr>
          <w:p>
            <w:pPr>
              <w:spacing w:before="40" w:after="40"/>
            </w:pPr>
            <w:r>
              <w:rPr>
                <w:rFonts w:ascii="Calibri" w:hAnsi="Calibri"/>
                <w:sz w:val="22"/>
              </w:rPr>
              <w:t>18.4 million across India's industrial belts</w:t>
            </w:r>
          </w:p>
        </w:tc>
      </w:tr>
      <w:tr>
        <w:tc>
          <w:tcPr>
            <w:tcW w:type="dxa" w:w="4824"/>
            <w:vAlign w:val="center"/>
            <w:tcMar>
              <w:top w:w="120" w:type="dxa"/>
              <w:bottom w:w="120" w:type="dxa"/>
              <w:left w:w="140" w:type="dxa"/>
              <w:right w:w="140" w:type="dxa"/>
            </w:tcMar>
            <w:shd w:fill="F8FAFC"/>
          </w:tcPr>
          <w:p>
            <w:pPr>
              <w:spacing w:before="40" w:after="40"/>
            </w:pPr>
            <w:r>
              <w:rPr>
                <w:rFonts w:ascii="Calibri" w:hAnsi="Calibri"/>
                <w:sz w:val="22"/>
              </w:rPr>
              <w:t>Protected biodiversity areas monitored</w:t>
            </w:r>
          </w:p>
        </w:tc>
        <w:tc>
          <w:tcPr>
            <w:tcW w:type="dxa" w:w="4824"/>
            <w:vAlign w:val="center"/>
            <w:tcMar>
              <w:top w:w="120" w:type="dxa"/>
              <w:bottom w:w="120" w:type="dxa"/>
              <w:left w:w="140" w:type="dxa"/>
              <w:right w:w="140" w:type="dxa"/>
            </w:tcMar>
            <w:shd w:fill="F8FAFC"/>
          </w:tcPr>
          <w:p>
            <w:pPr>
              <w:spacing w:before="40" w:after="40"/>
            </w:pPr>
            <w:r>
              <w:rPr>
                <w:rFonts w:ascii="Calibri" w:hAnsi="Calibri"/>
                <w:sz w:val="22"/>
              </w:rPr>
              <w:t>54 tiger reserves + 18 biosphere reserves</w:t>
            </w:r>
          </w:p>
        </w:tc>
      </w:tr>
      <w:tr>
        <w:tc>
          <w:tcPr>
            <w:tcW w:type="dxa" w:w="4824"/>
            <w:vAlign w:val="center"/>
            <w:tcMar>
              <w:top w:w="120" w:type="dxa"/>
              <w:bottom w:w="120" w:type="dxa"/>
              <w:left w:w="140" w:type="dxa"/>
              <w:right w:w="140" w:type="dxa"/>
            </w:tcMar>
            <w:shd w:fill="FFFFFF"/>
          </w:tcPr>
          <w:p>
            <w:pPr>
              <w:spacing w:before="40" w:after="40"/>
            </w:pPr>
            <w:r>
              <w:rPr>
                <w:rFonts w:ascii="Calibri" w:hAnsi="Calibri"/>
                <w:sz w:val="22"/>
              </w:rPr>
              <w:t>False alarm rate reduction target</w:t>
            </w:r>
          </w:p>
        </w:tc>
        <w:tc>
          <w:tcPr>
            <w:tcW w:type="dxa" w:w="4824"/>
            <w:vAlign w:val="center"/>
            <w:tcMar>
              <w:top w:w="120" w:type="dxa"/>
              <w:bottom w:w="120" w:type="dxa"/>
              <w:left w:w="140" w:type="dxa"/>
              <w:right w:w="140" w:type="dxa"/>
            </w:tcMar>
            <w:shd w:fill="FFFFFF"/>
          </w:tcPr>
          <w:p>
            <w:pPr>
              <w:spacing w:before="40" w:after="40"/>
            </w:pPr>
            <w:r>
              <w:rPr>
                <w:rFonts w:ascii="Calibri" w:hAnsi="Calibri"/>
                <w:sz w:val="22"/>
              </w:rPr>
              <w:t>68% -&gt; &lt;15%</w:t>
            </w:r>
          </w:p>
        </w:tc>
      </w:tr>
      <w:tr>
        <w:tc>
          <w:tcPr>
            <w:tcW w:type="dxa" w:w="4824"/>
            <w:vAlign w:val="center"/>
            <w:tcMar>
              <w:top w:w="120" w:type="dxa"/>
              <w:bottom w:w="120" w:type="dxa"/>
              <w:left w:w="140" w:type="dxa"/>
              <w:right w:w="140" w:type="dxa"/>
            </w:tcMar>
            <w:shd w:fill="F8FAFC"/>
          </w:tcPr>
          <w:p>
            <w:pPr>
              <w:spacing w:before="40" w:after="40"/>
            </w:pPr>
            <w:r>
              <w:rPr>
                <w:rFonts w:ascii="Calibri" w:hAnsi="Calibri"/>
                <w:sz w:val="22"/>
              </w:rPr>
              <w:t>Early warning time improvement</w:t>
            </w:r>
          </w:p>
        </w:tc>
        <w:tc>
          <w:tcPr>
            <w:tcW w:type="dxa" w:w="4824"/>
            <w:vAlign w:val="center"/>
            <w:tcMar>
              <w:top w:w="120" w:type="dxa"/>
              <w:bottom w:w="120" w:type="dxa"/>
              <w:left w:w="140" w:type="dxa"/>
              <w:right w:w="140" w:type="dxa"/>
            </w:tcMar>
            <w:shd w:fill="F8FAFC"/>
          </w:tcPr>
          <w:p>
            <w:pPr>
              <w:spacing w:before="40" w:after="40"/>
            </w:pPr>
            <w:r>
              <w:rPr>
                <w:rFonts w:ascii="Calibri" w:hAnsi="Calibri"/>
                <w:sz w:val="22"/>
              </w:rPr>
              <w:t>+22 to +45 minutes before NDRF mobilization</w:t>
            </w:r>
          </w:p>
        </w:tc>
      </w:tr>
      <w:tr>
        <w:tc>
          <w:tcPr>
            <w:tcW w:type="dxa" w:w="4824"/>
            <w:vAlign w:val="center"/>
            <w:tcMar>
              <w:top w:w="120" w:type="dxa"/>
              <w:bottom w:w="120" w:type="dxa"/>
              <w:left w:w="140" w:type="dxa"/>
              <w:right w:w="140" w:type="dxa"/>
            </w:tcMar>
            <w:shd w:fill="FFFFFF"/>
          </w:tcPr>
          <w:p>
            <w:pPr>
              <w:spacing w:before="40" w:after="40"/>
            </w:pPr>
            <w:r>
              <w:rPr>
                <w:rFonts w:ascii="Calibri" w:hAnsi="Calibri"/>
                <w:sz w:val="22"/>
              </w:rPr>
              <w:t>CO2-equivalent flaring emissions audited</w:t>
            </w:r>
          </w:p>
        </w:tc>
        <w:tc>
          <w:tcPr>
            <w:tcW w:type="dxa" w:w="4824"/>
            <w:vAlign w:val="center"/>
            <w:tcMar>
              <w:top w:w="120" w:type="dxa"/>
              <w:bottom w:w="120" w:type="dxa"/>
              <w:left w:w="140" w:type="dxa"/>
              <w:right w:w="140" w:type="dxa"/>
            </w:tcMar>
            <w:shd w:fill="FFFFFF"/>
          </w:tcPr>
          <w:p>
            <w:pPr>
              <w:spacing w:before="40" w:after="40"/>
            </w:pPr>
            <w:r>
              <w:rPr>
                <w:rFonts w:ascii="Calibri" w:hAnsi="Calibri"/>
                <w:sz w:val="22"/>
              </w:rPr>
              <w:t>4.2 million tonnes/year</w:t>
            </w:r>
          </w:p>
        </w:tc>
      </w:tr>
    </w:tbl>
    <w:p>
      <w:pPr>
        <w:pStyle w:val="Heading3"/>
        <w:keepNext/>
        <w:spacing w:before="200" w:after="60"/>
      </w:pPr>
      <w:r>
        <w:rPr>
          <w:rFonts w:ascii="Calibri" w:hAnsi="Calibri"/>
          <w:b/>
          <w:color w:val="1E3A8A"/>
          <w:sz w:val="24"/>
        </w:rPr>
        <w:t>5.6 Deployment Roadmap</w:t>
      </w:r>
    </w:p>
    <w:p>
      <w:pPr>
        <w:spacing w:before="40" w:after="80" w:line="276" w:lineRule="auto"/>
      </w:pPr>
      <w:r>
        <w:rPr>
          <w:rFonts w:ascii="Calibri" w:hAnsi="Calibri"/>
          <w:sz w:val="22"/>
        </w:rPr>
        <w:t>PHASE 1 — HACKATHON PROTOTYPE (Q3 2026 — Current)</w:t>
      </w:r>
    </w:p>
    <w:p>
      <w:pPr>
        <w:spacing w:before="40" w:after="80" w:line="276" w:lineRule="auto"/>
      </w:pPr>
      <w:r>
        <w:rPr>
          <w:rFonts w:ascii="Calibri" w:hAnsi="Calibri"/>
          <w:sz w:val="22"/>
        </w:rPr>
        <w:t xml:space="preserve">  [DONE] Core ML engine + 3D cockpit operational</w:t>
      </w:r>
    </w:p>
    <w:p>
      <w:pPr>
        <w:spacing w:before="40" w:after="80" w:line="276" w:lineRule="auto"/>
      </w:pPr>
      <w:r>
        <w:rPr>
          <w:rFonts w:ascii="Calibri" w:hAnsi="Calibri"/>
          <w:sz w:val="22"/>
        </w:rPr>
        <w:t xml:space="preserve">  [DONE] 185+ automated tests passing</w:t>
      </w:r>
    </w:p>
    <w:p>
      <w:pPr>
        <w:spacing w:before="40" w:after="80" w:line="276" w:lineRule="auto"/>
      </w:pPr>
      <w:r>
        <w:rPr>
          <w:rFonts w:ascii="Calibri" w:hAnsi="Calibri"/>
          <w:sz w:val="22"/>
        </w:rPr>
        <w:t xml:space="preserve">  [DONE] 6 canonical Indian benchmarks verified (SHA-256)</w:t>
      </w:r>
    </w:p>
    <w:p>
      <w:pPr>
        <w:spacing w:before="40" w:after="80" w:line="276" w:lineRule="auto"/>
      </w:pPr>
      <w:r>
        <w:rPr>
          <w:rFonts w:ascii="Calibri" w:hAnsi="Calibri"/>
          <w:sz w:val="22"/>
        </w:rPr>
        <w:t xml:space="preserve">  [DONE] Render cloud deployment live</w:t>
      </w:r>
    </w:p>
    <w:p>
      <w:pPr>
        <w:spacing w:before="40" w:after="80" w:line="276" w:lineRule="auto"/>
      </w:pPr>
      <w:r>
        <w:rPr>
          <w:rFonts w:ascii="Calibri" w:hAnsi="Calibri"/>
          <w:sz w:val="22"/>
        </w:rPr>
        <w:t>PHASE 2 — PILOT DEPLOYMENT (Q4 2026 - Q2 2027)</w:t>
      </w:r>
    </w:p>
    <w:p>
      <w:pPr>
        <w:spacing w:before="40" w:after="80" w:line="276" w:lineRule="auto"/>
      </w:pPr>
      <w:r>
        <w:rPr>
          <w:rFonts w:ascii="Calibri" w:hAnsi="Calibri"/>
          <w:sz w:val="22"/>
        </w:rPr>
        <w:t xml:space="preserve">  [Q4 2026] Pilot MoU with 1 SDMA (Gujarat / Andhra Pradesh)</w:t>
      </w:r>
    </w:p>
    <w:p>
      <w:pPr>
        <w:spacing w:before="40" w:after="80" w:line="276" w:lineRule="auto"/>
      </w:pPr>
      <w:r>
        <w:rPr>
          <w:rFonts w:ascii="Calibri" w:hAnsi="Calibri"/>
          <w:sz w:val="22"/>
        </w:rPr>
        <w:t xml:space="preserve">  [Q1 2027] Real-time FIRMS API integration at state level</w:t>
      </w:r>
    </w:p>
    <w:p>
      <w:pPr>
        <w:spacing w:before="40" w:after="80" w:line="276" w:lineRule="auto"/>
      </w:pPr>
      <w:r>
        <w:rPr>
          <w:rFonts w:ascii="Calibri" w:hAnsi="Calibri"/>
          <w:sz w:val="22"/>
        </w:rPr>
        <w:t xml:space="preserve">  [Q1 2027] Integration with IDRN (Integrated Disaster Resource Network)</w:t>
      </w:r>
    </w:p>
    <w:p>
      <w:pPr>
        <w:spacing w:before="40" w:after="80" w:line="276" w:lineRule="auto"/>
      </w:pPr>
      <w:r>
        <w:rPr>
          <w:rFonts w:ascii="Calibri" w:hAnsi="Calibri"/>
          <w:sz w:val="22"/>
        </w:rPr>
        <w:t xml:space="preserve">  [Q2 2027] First operational IAP dispatch tested with NDRF battalion</w:t>
      </w:r>
    </w:p>
    <w:p>
      <w:pPr>
        <w:spacing w:before="40" w:after="80" w:line="276" w:lineRule="auto"/>
      </w:pPr>
      <w:r>
        <w:rPr>
          <w:rFonts w:ascii="Calibri" w:hAnsi="Calibri"/>
          <w:sz w:val="22"/>
        </w:rPr>
        <w:t>PHASE 3 — NATIONAL ROLLOUT (Q3 2027 - Q4 2028)</w:t>
      </w:r>
    </w:p>
    <w:p>
      <w:pPr>
        <w:spacing w:before="40" w:after="80" w:line="276" w:lineRule="auto"/>
      </w:pPr>
      <w:r>
        <w:rPr>
          <w:rFonts w:ascii="Calibri" w:hAnsi="Calibri"/>
          <w:sz w:val="22"/>
        </w:rPr>
        <w:t xml:space="preserve">  [Q3 2027] API rollout to all 36 SDMA portals</w:t>
      </w:r>
    </w:p>
    <w:p>
      <w:pPr>
        <w:spacing w:before="40" w:after="80" w:line="276" w:lineRule="auto"/>
      </w:pPr>
      <w:r>
        <w:rPr>
          <w:rFonts w:ascii="Calibri" w:hAnsi="Calibri"/>
          <w:sz w:val="22"/>
        </w:rPr>
        <w:t xml:space="preserve">  [Q4 2027] CPCB integration for emissions compliance enforcement</w:t>
      </w:r>
    </w:p>
    <w:p>
      <w:pPr>
        <w:spacing w:before="40" w:after="80" w:line="276" w:lineRule="auto"/>
      </w:pPr>
      <w:r>
        <w:rPr>
          <w:rFonts w:ascii="Calibri" w:hAnsi="Calibri"/>
          <w:sz w:val="22"/>
        </w:rPr>
        <w:t xml:space="preserve">  [Q1 2028] Industrial facility subscription API launch</w:t>
      </w:r>
    </w:p>
    <w:p>
      <w:pPr>
        <w:spacing w:before="40" w:after="80" w:line="276" w:lineRule="auto"/>
      </w:pPr>
      <w:r>
        <w:rPr>
          <w:rFonts w:ascii="Calibri" w:hAnsi="Calibri"/>
          <w:sz w:val="22"/>
        </w:rPr>
        <w:t xml:space="preserve">  [Q4 2028] Full national-scale deployment</w:t>
      </w:r>
    </w:p>
    <w:p>
      <w:pPr>
        <w:spacing w:before="40" w:after="80" w:line="276" w:lineRule="auto"/>
      </w:pPr>
      <w:r>
        <w:rPr>
          <w:rFonts w:ascii="Calibri" w:hAnsi="Calibri"/>
          <w:sz w:val="22"/>
        </w:rPr>
        <w:t>PHASE 4 — INTERNATIONAL EXPANSION (2029+)</w:t>
      </w:r>
    </w:p>
    <w:p>
      <w:pPr>
        <w:spacing w:before="40" w:after="80" w:line="276" w:lineRule="auto"/>
      </w:pPr>
      <w:r>
        <w:rPr>
          <w:rFonts w:ascii="Calibri" w:hAnsi="Calibri"/>
          <w:sz w:val="22"/>
        </w:rPr>
        <w:t xml:space="preserve">  [2029] South Asian expansion: Bangladesh, Sri Lanka, Nepal</w:t>
      </w:r>
    </w:p>
    <w:p>
      <w:pPr>
        <w:spacing w:before="40" w:after="80" w:line="276" w:lineRule="auto"/>
      </w:pPr>
      <w:r>
        <w:rPr>
          <w:rFonts w:ascii="Calibri" w:hAnsi="Calibri"/>
          <w:sz w:val="22"/>
        </w:rPr>
        <w:t xml:space="preserve">  [2030] Southeast Asian corridors: Vietnam, Indonesia</w:t>
      </w:r>
    </w:p>
    <w:p>
      <w:pPr>
        <w:spacing w:before="40" w:after="80" w:line="276" w:lineRule="auto"/>
      </w:pPr>
      <w:r>
        <w:rPr>
          <w:rFonts w:ascii="Calibri" w:hAnsi="Calibri"/>
          <w:sz w:val="22"/>
        </w:rPr>
        <w:t xml:space="preserve">  [2031] Global licensing via UNDRR / UNDP disaster resilience programs</w:t>
      </w:r>
    </w:p>
    <w:p>
      <w:pPr>
        <w:pStyle w:val="Heading3"/>
        <w:keepNext/>
        <w:spacing w:before="200" w:after="60"/>
      </w:pPr>
      <w:r>
        <w:rPr>
          <w:rFonts w:ascii="Calibri" w:hAnsi="Calibri"/>
          <w:b/>
          <w:color w:val="1E3A8A"/>
          <w:sz w:val="24"/>
        </w:rPr>
        <w:t>5.7 Lean Business Model Canvas</w:t>
      </w:r>
    </w:p>
    <w:p>
      <w:pPr>
        <w:spacing w:before="40" w:after="80" w:line="276" w:lineRule="auto"/>
      </w:pPr>
      <w:r>
        <w:rPr>
          <w:rFonts w:ascii="Calibri" w:hAnsi="Calibri"/>
          <w:sz w:val="22"/>
        </w:rPr>
        <w:t>KEY PARTNERS: ISRO/MoES, NASA EOSDIS, ESA Copernicus, Open-Meteo, World Bank GGFR, GEM Database</w:t>
      </w:r>
    </w:p>
    <w:p>
      <w:pPr>
        <w:spacing w:before="40" w:after="80" w:line="276" w:lineRule="auto"/>
      </w:pPr>
      <w:r>
        <w:rPr>
          <w:rFonts w:ascii="Calibri" w:hAnsi="Calibri"/>
          <w:sz w:val="22"/>
        </w:rPr>
        <w:t>KEY ACTIVITIES: Satellite data ingestion (NRT), ML model training, 5-Gate skeptic AI, Plume modeling, PDF IAP generation, Platform maintenance</w:t>
      </w:r>
    </w:p>
    <w:p>
      <w:pPr>
        <w:spacing w:before="40" w:after="80" w:line="276" w:lineRule="auto"/>
      </w:pPr>
      <w:r>
        <w:rPr>
          <w:rFonts w:ascii="Calibri" w:hAnsi="Calibri"/>
          <w:sz w:val="22"/>
        </w:rPr>
        <w:t>VALUE PROPOSITIONS:</w:t>
      </w:r>
    </w:p>
    <w:p>
      <w:pPr>
        <w:pStyle w:val="ListBullet"/>
        <w:spacing w:before="20" w:after="40"/>
        <w:ind w:left="360"/>
      </w:pPr>
      <w:r>
        <w:rPr>
          <w:rFonts w:ascii="Calibri" w:hAnsi="Calibri"/>
          <w:sz w:val="22"/>
        </w:rPr>
        <w:t>Only physics-grounded thermal fire intelligence platform in India</w:t>
      </w:r>
    </w:p>
    <w:p>
      <w:pPr>
        <w:pStyle w:val="ListBullet"/>
        <w:spacing w:before="20" w:after="40"/>
        <w:ind w:left="360"/>
      </w:pPr>
      <w:r>
        <w:rPr>
          <w:rFonts w:ascii="Calibri" w:hAnsi="Calibri"/>
          <w:sz w:val="22"/>
        </w:rPr>
        <w:t>Zero false-alarm SLA via adversarial falsification</w:t>
      </w:r>
    </w:p>
    <w:p>
      <w:pPr>
        <w:pStyle w:val="ListBullet"/>
        <w:spacing w:before="20" w:after="40"/>
        <w:ind w:left="360"/>
      </w:pPr>
      <w:r>
        <w:rPr>
          <w:rFonts w:ascii="Calibri" w:hAnsi="Calibri"/>
          <w:sz w:val="22"/>
        </w:rPr>
        <w:t>Open-data zero-cost infrastructure</w:t>
      </w:r>
    </w:p>
    <w:p>
      <w:pPr>
        <w:pStyle w:val="ListBullet"/>
        <w:spacing w:before="20" w:after="40"/>
        <w:ind w:left="360"/>
      </w:pPr>
      <w:r>
        <w:rPr>
          <w:rFonts w:ascii="Calibri" w:hAnsi="Calibri"/>
          <w:sz w:val="22"/>
        </w:rPr>
        <w:t>Legally auditable TreeSHAP evidence chains</w:t>
      </w:r>
    </w:p>
    <w:p>
      <w:pPr>
        <w:pStyle w:val="ListBullet"/>
        <w:spacing w:before="20" w:after="40"/>
        <w:ind w:left="360"/>
      </w:pPr>
      <w:r>
        <w:rPr>
          <w:rFonts w:ascii="Calibri" w:hAnsi="Calibri"/>
          <w:sz w:val="22"/>
        </w:rPr>
        <w:t>Automated IAP in &lt; 60 seconds</w:t>
      </w:r>
    </w:p>
    <w:p>
      <w:pPr>
        <w:spacing w:before="40" w:after="80" w:line="276" w:lineRule="auto"/>
      </w:pPr>
      <w:r>
        <w:rPr>
          <w:rFonts w:ascii="Calibri" w:hAnsi="Calibri"/>
          <w:sz w:val="22"/>
        </w:rPr>
        <w:t>CHANNELS: NDMA/SDMA government portals, Direct API integration, Emergency Alert SSE stream, Render/cloud SaaS</w:t>
      </w:r>
    </w:p>
    <w:p>
      <w:pPr>
        <w:spacing w:before="40" w:after="80" w:line="276" w:lineRule="auto"/>
      </w:pPr>
      <w:r>
        <w:rPr>
          <w:rFonts w:ascii="Calibri" w:hAnsi="Calibri"/>
          <w:sz w:val="22"/>
        </w:rPr>
        <w:t>CUSTOMER SEGMENTS: NDMA/SDMA/NDRF, CPCB/SPCB, Petroleum refineries, Steel plants, Tiger reserve authorities</w:t>
      </w:r>
    </w:p>
    <w:p>
      <w:pPr>
        <w:spacing w:before="40" w:after="80" w:line="276" w:lineRule="auto"/>
      </w:pPr>
      <w:r>
        <w:rPr>
          <w:rFonts w:ascii="Calibri" w:hAnsi="Calibri"/>
          <w:sz w:val="22"/>
        </w:rPr>
        <w:t>COST STRUCTURE: Cloud compute Rs.12L/yr, Engineering team Rs.36L/yr, Data costs Rs.0, ML retraining Rs.8L/yr — Total ~Rs.54-100L/yr</w:t>
      </w:r>
    </w:p>
    <w:p>
      <w:pPr>
        <w:spacing w:before="40" w:after="80" w:line="276" w:lineRule="auto"/>
      </w:pPr>
      <w:r>
        <w:rPr>
          <w:rFonts w:ascii="Calibri" w:hAnsi="Calibri"/>
          <w:sz w:val="22"/>
        </w:rPr>
        <w:t>REVENUE STREAMS: Gov SaaS license Rs.8-15 crore/yr, SDMA per-state Rs.25L/state/yr, Facility API Rs.5L/facility/yr, Emissions audit Rs.2L/report</w:t>
      </w:r>
    </w:p>
    <w:p>
      <w:pPr>
        <w:spacing w:before="120" w:after="120"/>
      </w:pPr>
      <w:r>
        <w:rPr>
          <w:color w:val="C8C8C8"/>
        </w:rPr>
        <w:t>―――――――――――――――――――――――――――――――――――――――――――――――――――――――</w:t>
      </w:r>
    </w:p>
    <w:p>
      <w:pPr>
        <w:spacing w:before="40" w:after="80" w:line="276" w:lineRule="auto"/>
      </w:pPr>
      <w:r>
        <w:rPr>
          <w:rFonts w:ascii="Calibri" w:hAnsi="Calibri"/>
          <w:sz w:val="22"/>
        </w:rPr>
        <w:t>Document prepared for Smart India Hackathon 2026 | Problem Statement SIH26162 | Team: Thinkers</w:t>
      </w:r>
    </w:p>
    <w:p>
      <w:pPr>
        <w:spacing w:before="40" w:after="80" w:line="276" w:lineRule="auto"/>
      </w:pPr>
      <w:r>
        <w:rPr>
          <w:rFonts w:ascii="Calibri" w:hAnsi="Calibri"/>
          <w:sz w:val="22"/>
        </w:rPr>
        <w:t>Repository: https://github.com/Narayana1729/SIH2026 | Deployment: https://pyrosat.onrender.com</w:t>
      </w:r>
    </w:p>
    <w:p>
      <w:r>
        <w:br w:type="page"/>
      </w:r>
    </w:p>
    <w:p>
      <w:pPr>
        <w:pStyle w:val="Heading1"/>
        <w:keepNext/>
        <w:spacing w:before="320" w:after="120"/>
      </w:pPr>
      <w:r>
        <w:rPr>
          <w:rFonts w:ascii="Calibri" w:hAnsi="Calibri"/>
          <w:b/>
          <w:color w:val="0F2C59"/>
          <w:sz w:val="40"/>
        </w:rPr>
        <w:t>System Architecture Visual</w:t>
      </w:r>
    </w:p>
    <w:p>
      <w:pPr>
        <w:jc w:val="center"/>
      </w:pPr>
    </w:p>
    <w:p>
      <w:r>
        <w:drawing>
          <wp:inline xmlns:a="http://schemas.openxmlformats.org/drawingml/2006/main" xmlns:pic="http://schemas.openxmlformats.org/drawingml/2006/picture">
            <wp:extent cx="6035040" cy="3368394"/>
            <wp:docPr id="1" name="Picture 1"/>
            <wp:cNvGraphicFramePr>
              <a:graphicFrameLocks noChangeAspect="1"/>
            </wp:cNvGraphicFramePr>
            <a:graphic>
              <a:graphicData uri="http://schemas.openxmlformats.org/drawingml/2006/picture">
                <pic:pic>
                  <pic:nvPicPr>
                    <pic:cNvPr id="0" name="pyrosat_architecture_diagram.jpg"/>
                    <pic:cNvPicPr/>
                  </pic:nvPicPr>
                  <pic:blipFill>
                    <a:blip r:embed="rId10"/>
                    <a:stretch>
                      <a:fillRect/>
                    </a:stretch>
                  </pic:blipFill>
                  <pic:spPr>
                    <a:xfrm>
                      <a:off x="0" y="0"/>
                      <a:ext cx="6035040" cy="3368394"/>
                    </a:xfrm>
                    <a:prstGeom prst="rect"/>
                  </pic:spPr>
                </pic:pic>
              </a:graphicData>
            </a:graphic>
          </wp:inline>
        </w:drawing>
      </w:r>
    </w:p>
    <w:p>
      <w:pPr>
        <w:jc w:val="center"/>
      </w:pPr>
      <w:r>
        <w:rPr>
          <w:rFonts w:ascii="Calibri" w:hAnsi="Calibri"/>
          <w:i/>
          <w:color w:val="646464"/>
          <w:sz w:val="19"/>
        </w:rPr>
        <w:t>Figure: PyroSat 5-Tier End-to-End System Architecture (NASA FIRMS -&gt; Ingestion -&gt; Physics -&gt; Skeptic AI -&gt; Command Cockpit)</w:t>
      </w:r>
    </w:p>
    <w:sectPr w:rsidR="00FC693F" w:rsidRPr="0006063C" w:rsidSect="00034616">
      <w:head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PyroSat — SIH 2026 | NTRO (SIH26162) | Team: Thinkers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