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8AFA" w14:textId="77777777" w:rsidR="000E1F1B" w:rsidRDefault="000E1F1B"/>
    <w:p w14:paraId="6AA88371" w14:textId="77777777" w:rsidR="000E1F1B" w:rsidRDefault="000E1F1B"/>
    <w:p w14:paraId="5DC77219" w14:textId="77777777" w:rsidR="000E1F1B" w:rsidRDefault="000E1F1B"/>
    <w:p w14:paraId="47710013" w14:textId="77777777" w:rsidR="000E1F1B" w:rsidRDefault="000E1F1B"/>
    <w:p w14:paraId="551CAE52" w14:textId="77777777" w:rsidR="000E1F1B" w:rsidRDefault="000E1F1B"/>
    <w:p w14:paraId="48585C53" w14:textId="77777777" w:rsidR="000E1F1B" w:rsidRDefault="00000000">
      <w:pPr>
        <w:spacing w:after="60"/>
        <w:jc w:val="center"/>
      </w:pPr>
      <w:r>
        <w:rPr>
          <w:b/>
          <w:bCs/>
          <w:color w:val="3C3489"/>
          <w:sz w:val="72"/>
          <w:szCs w:val="72"/>
        </w:rPr>
        <w:t>NEXUS ALPHA</w:t>
      </w:r>
    </w:p>
    <w:p w14:paraId="00DAC282" w14:textId="77777777" w:rsidR="000E1F1B" w:rsidRDefault="00000000">
      <w:pPr>
        <w:spacing w:after="40"/>
        <w:jc w:val="center"/>
      </w:pPr>
      <w:r>
        <w:rPr>
          <w:color w:val="666666"/>
          <w:sz w:val="28"/>
          <w:szCs w:val="28"/>
        </w:rPr>
        <w:t>Risk Management &amp; Quantitative Consulting</w:t>
      </w:r>
    </w:p>
    <w:p w14:paraId="6364AD59" w14:textId="77777777" w:rsidR="000E1F1B" w:rsidRDefault="000E1F1B">
      <w:pPr>
        <w:pBdr>
          <w:bottom w:val="single" w:sz="6" w:space="1" w:color="3C3489"/>
        </w:pBdr>
        <w:spacing w:before="140" w:after="140"/>
      </w:pPr>
    </w:p>
    <w:p w14:paraId="285B0B0C" w14:textId="77777777" w:rsidR="000E1F1B" w:rsidRDefault="00000000">
      <w:pPr>
        <w:spacing w:before="100" w:after="40"/>
        <w:jc w:val="center"/>
      </w:pPr>
      <w:r>
        <w:rPr>
          <w:b/>
          <w:bCs/>
          <w:color w:val="3C3489"/>
          <w:sz w:val="36"/>
          <w:szCs w:val="36"/>
        </w:rPr>
        <w:t>CATALOGUE DÉTAILLÉ DES SERVICES</w:t>
      </w:r>
    </w:p>
    <w:p w14:paraId="47C396E3" w14:textId="64A63ADE" w:rsidR="000E1F1B" w:rsidRDefault="00000000">
      <w:pPr>
        <w:spacing w:after="40"/>
        <w:jc w:val="center"/>
      </w:pPr>
      <w:r>
        <w:rPr>
          <w:color w:val="888888"/>
          <w:sz w:val="24"/>
          <w:szCs w:val="24"/>
        </w:rPr>
        <w:t>Afrique francophone · 202</w:t>
      </w:r>
      <w:r w:rsidR="00666D5A">
        <w:rPr>
          <w:color w:val="888888"/>
          <w:sz w:val="24"/>
          <w:szCs w:val="24"/>
        </w:rPr>
        <w:t>6</w:t>
      </w:r>
    </w:p>
    <w:p w14:paraId="35805FE7" w14:textId="77777777" w:rsidR="000E1F1B" w:rsidRDefault="000E1F1B"/>
    <w:p w14:paraId="18EBE7CE" w14:textId="77777777" w:rsidR="000E1F1B" w:rsidRDefault="000E1F1B"/>
    <w:p w14:paraId="2D2876DF" w14:textId="77777777" w:rsidR="000E1F1B" w:rsidRDefault="000E1F1B"/>
    <w:p w14:paraId="046502DC" w14:textId="77777777" w:rsidR="000E1F1B" w:rsidRDefault="00000000">
      <w:pPr>
        <w:jc w:val="center"/>
      </w:pPr>
      <w:r>
        <w:rPr>
          <w:color w:val="555555"/>
          <w:sz w:val="20"/>
          <w:szCs w:val="20"/>
        </w:rPr>
        <w:t>Pôle 1 — Risque de marché   |   Pôle 2 — Risque de crédit</w:t>
      </w:r>
    </w:p>
    <w:p w14:paraId="322B6E17" w14:textId="77777777" w:rsidR="000E1F1B" w:rsidRDefault="00000000">
      <w:pPr>
        <w:jc w:val="center"/>
      </w:pPr>
      <w:r>
        <w:rPr>
          <w:color w:val="555555"/>
          <w:sz w:val="20"/>
          <w:szCs w:val="20"/>
        </w:rPr>
        <w:t>Pôle 3 — Risque opérationnel &amp; ESG   |   Pôle 4 — Validation de modèles (MRM)</w:t>
      </w:r>
    </w:p>
    <w:p w14:paraId="472B3CBA" w14:textId="77777777" w:rsidR="000E1F1B" w:rsidRDefault="00000000">
      <w:pPr>
        <w:jc w:val="center"/>
      </w:pPr>
      <w:r>
        <w:rPr>
          <w:color w:val="555555"/>
          <w:sz w:val="20"/>
          <w:szCs w:val="20"/>
        </w:rPr>
        <w:t>Pôle 5 — Data science appliquée   |   Pôle 6 — Conseil stratégique &amp; Formation</w:t>
      </w:r>
    </w:p>
    <w:p w14:paraId="60C57346" w14:textId="77777777" w:rsidR="000E1F1B" w:rsidRDefault="000E1F1B"/>
    <w:p w14:paraId="11E43E1E" w14:textId="77777777" w:rsidR="000E1F1B" w:rsidRDefault="000E1F1B"/>
    <w:p w14:paraId="7C2FB7C5" w14:textId="77777777" w:rsidR="000E1F1B" w:rsidRDefault="000E1F1B"/>
    <w:p w14:paraId="4DAA0D95" w14:textId="77777777" w:rsidR="000E1F1B" w:rsidRDefault="000E1F1B"/>
    <w:p w14:paraId="0FD7E147" w14:textId="77777777" w:rsidR="000E1F1B" w:rsidRDefault="00000000">
      <w:pPr>
        <w:jc w:val="center"/>
      </w:pPr>
      <w:r>
        <w:rPr>
          <w:i/>
          <w:iCs/>
          <w:color w:val="AAAAAA"/>
          <w:sz w:val="18"/>
          <w:szCs w:val="18"/>
        </w:rPr>
        <w:t>Document confidentiel — Usage interne &amp; partenaires</w:t>
      </w:r>
    </w:p>
    <w:p w14:paraId="67EA1398" w14:textId="77777777" w:rsidR="000E1F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0C0F0BB6" w14:textId="77777777">
        <w:tc>
          <w:tcPr>
            <w:tcW w:w="9360" w:type="dxa"/>
            <w:tcBorders>
              <w:top w:val="none" w:sz="0" w:space="0" w:color="FFFFFF"/>
              <w:left w:val="none" w:sz="0" w:space="0" w:color="FFFFFF"/>
              <w:bottom w:val="none" w:sz="0" w:space="0" w:color="FFFFFF"/>
              <w:right w:val="none" w:sz="0" w:space="0" w:color="FFFFFF"/>
            </w:tcBorders>
            <w:shd w:val="clear" w:color="auto" w:fill="3C3489"/>
            <w:tcMar>
              <w:top w:w="200" w:type="dxa"/>
              <w:left w:w="300" w:type="dxa"/>
              <w:bottom w:w="200" w:type="dxa"/>
              <w:right w:w="300" w:type="dxa"/>
            </w:tcMar>
          </w:tcPr>
          <w:p w14:paraId="19FE8DE8" w14:textId="77777777" w:rsidR="000E1F1B" w:rsidRDefault="00000000">
            <w:r>
              <w:rPr>
                <w:color w:val="FFFFFF"/>
                <w:sz w:val="18"/>
                <w:szCs w:val="18"/>
              </w:rPr>
              <w:lastRenderedPageBreak/>
              <w:t>PÔLE 1</w:t>
            </w:r>
          </w:p>
          <w:p w14:paraId="5596AF08" w14:textId="77777777" w:rsidR="000E1F1B" w:rsidRDefault="00000000">
            <w:r>
              <w:rPr>
                <w:b/>
                <w:bCs/>
                <w:color w:val="FFFFFF"/>
                <w:sz w:val="40"/>
                <w:szCs w:val="40"/>
              </w:rPr>
              <w:t>Risque de marché</w:t>
            </w:r>
          </w:p>
          <w:p w14:paraId="10C5B720" w14:textId="77777777" w:rsidR="000E1F1B" w:rsidRDefault="00000000">
            <w:r>
              <w:rPr>
                <w:i/>
                <w:iCs/>
                <w:color w:val="FFFFFF"/>
                <w:sz w:val="22"/>
                <w:szCs w:val="22"/>
              </w:rPr>
              <w:t>Mesure · Quantification · Conformité réglementaire</w:t>
            </w:r>
          </w:p>
        </w:tc>
      </w:tr>
    </w:tbl>
    <w:p w14:paraId="38410ABA" w14:textId="77777777" w:rsidR="000E1F1B" w:rsidRDefault="000E1F1B"/>
    <w:p w14:paraId="32455198" w14:textId="77777777" w:rsidR="000E1F1B" w:rsidRDefault="00000000">
      <w:pPr>
        <w:pStyle w:val="Titre2"/>
      </w:pPr>
      <w:r>
        <w:t>Présentation générale</w:t>
      </w:r>
    </w:p>
    <w:p w14:paraId="28580DC3" w14:textId="77777777" w:rsidR="000E1F1B" w:rsidRDefault="00000000">
      <w:pPr>
        <w:spacing w:before="60" w:after="60"/>
      </w:pPr>
      <w:r>
        <w:rPr>
          <w:color w:val="333333"/>
        </w:rPr>
        <w:t>Le risque de marché désigne le risque de perte résultant des fluctuations des prix de marché : taux d'intérêt, taux de change, prix des actions, prix des matières premières. Ce pôle constitue le cœur technique de Nexus Alpha et s'adresse principalement aux banques commerciales, aux institutions financières et aux fonds d'investissement opérant en Afrique francophone.</w:t>
      </w:r>
    </w:p>
    <w:p w14:paraId="5514A7A3" w14:textId="77777777" w:rsidR="000E1F1B" w:rsidRDefault="00000000">
      <w:pPr>
        <w:spacing w:before="60" w:after="60"/>
      </w:pPr>
      <w:r>
        <w:rPr>
          <w:color w:val="333333"/>
        </w:rPr>
        <w:t>Dans le contexte réglementaire actuel (Bâle IV, FRTB, IRRBB), la maîtrise du risque de marché est devenue une obligation légale et un enjeu stratégique majeur pour toute institution financière.</w:t>
      </w:r>
    </w:p>
    <w:p w14:paraId="14700217" w14:textId="77777777" w:rsidR="000E1F1B" w:rsidRDefault="000E1F1B"/>
    <w:p w14:paraId="280CF915" w14:textId="77777777" w:rsidR="000E1F1B" w:rsidRDefault="00000000">
      <w:pPr>
        <w:pStyle w:val="Titre2"/>
      </w:pPr>
      <w:r>
        <w:t>1.1 — Mesure &amp; quantification du risque de marché</w:t>
      </w:r>
    </w:p>
    <w:p w14:paraId="14BC7479" w14:textId="77777777" w:rsidR="000E1F1B" w:rsidRDefault="00000000">
      <w:pPr>
        <w:spacing w:before="180" w:after="60"/>
      </w:pPr>
      <w:r>
        <w:rPr>
          <w:b/>
          <w:bCs/>
          <w:color w:val="534AB7"/>
          <w:sz w:val="22"/>
          <w:szCs w:val="22"/>
        </w:rPr>
        <w:t>Value at Risk (</w:t>
      </w:r>
      <w:proofErr w:type="spellStart"/>
      <w:r>
        <w:rPr>
          <w:b/>
          <w:bCs/>
          <w:color w:val="534AB7"/>
          <w:sz w:val="22"/>
          <w:szCs w:val="22"/>
        </w:rPr>
        <w:t>VaR</w:t>
      </w:r>
      <w:proofErr w:type="spellEnd"/>
      <w:r>
        <w:rPr>
          <w:b/>
          <w:bCs/>
          <w:color w:val="534AB7"/>
          <w:sz w:val="22"/>
          <w:szCs w:val="22"/>
        </w:rPr>
        <w:t>)</w:t>
      </w:r>
    </w:p>
    <w:p w14:paraId="1CCCF145" w14:textId="77777777" w:rsidR="000E1F1B" w:rsidRDefault="00000000">
      <w:pPr>
        <w:spacing w:before="60" w:after="60"/>
      </w:pPr>
      <w:r>
        <w:rPr>
          <w:color w:val="333333"/>
        </w:rPr>
        <w:t xml:space="preserve">La </w:t>
      </w:r>
      <w:proofErr w:type="spellStart"/>
      <w:r>
        <w:rPr>
          <w:color w:val="333333"/>
        </w:rPr>
        <w:t>VaR</w:t>
      </w:r>
      <w:proofErr w:type="spellEnd"/>
      <w:r>
        <w:rPr>
          <w:color w:val="333333"/>
        </w:rPr>
        <w:t xml:space="preserve"> mesure la perte maximale potentielle d'un portefeuille sur un horizon de temps donné, avec un niveau de confiance défini. Nexus Alpha propose trois approches complémentaires :</w:t>
      </w:r>
    </w:p>
    <w:p w14:paraId="7D509717" w14:textId="77777777" w:rsidR="000E1F1B" w:rsidRDefault="00000000">
      <w:pPr>
        <w:pStyle w:val="Paragraphedeliste"/>
        <w:numPr>
          <w:ilvl w:val="0"/>
          <w:numId w:val="2"/>
        </w:numPr>
        <w:spacing w:before="40" w:after="40"/>
      </w:pPr>
      <w:proofErr w:type="spellStart"/>
      <w:r>
        <w:rPr>
          <w:color w:val="333333"/>
        </w:rPr>
        <w:t>VaR</w:t>
      </w:r>
      <w:proofErr w:type="spellEnd"/>
      <w:r>
        <w:rPr>
          <w:color w:val="333333"/>
        </w:rPr>
        <w:t xml:space="preserve"> paramétrique (variance-covariance) : rapide et adaptée aux portefeuilles normalement distribués. Calcul des sensibilités, matrices de corrélations et volatilités.</w:t>
      </w:r>
    </w:p>
    <w:p w14:paraId="17C141F2" w14:textId="77777777" w:rsidR="000E1F1B" w:rsidRDefault="00000000">
      <w:pPr>
        <w:pStyle w:val="Paragraphedeliste"/>
        <w:numPr>
          <w:ilvl w:val="0"/>
          <w:numId w:val="2"/>
        </w:numPr>
        <w:spacing w:before="40" w:after="40"/>
      </w:pPr>
      <w:proofErr w:type="spellStart"/>
      <w:r>
        <w:rPr>
          <w:color w:val="333333"/>
        </w:rPr>
        <w:t>VaR</w:t>
      </w:r>
      <w:proofErr w:type="spellEnd"/>
      <w:r>
        <w:rPr>
          <w:color w:val="333333"/>
        </w:rPr>
        <w:t xml:space="preserve"> historique : simulation basée sur les données historiques réelles. Capture les événements extrêmes sans hypothèse de distribution.</w:t>
      </w:r>
    </w:p>
    <w:p w14:paraId="6C0BACAA" w14:textId="77777777" w:rsidR="000E1F1B" w:rsidRDefault="00000000">
      <w:pPr>
        <w:pStyle w:val="Paragraphedeliste"/>
        <w:numPr>
          <w:ilvl w:val="0"/>
          <w:numId w:val="2"/>
        </w:numPr>
        <w:spacing w:before="40" w:after="40"/>
      </w:pPr>
      <w:proofErr w:type="spellStart"/>
      <w:r>
        <w:rPr>
          <w:color w:val="333333"/>
        </w:rPr>
        <w:t>VaR</w:t>
      </w:r>
      <w:proofErr w:type="spellEnd"/>
      <w:r>
        <w:rPr>
          <w:color w:val="333333"/>
        </w:rPr>
        <w:t xml:space="preserve"> Monte Carlo : simulation de milliers de scénarios aléatoires. Adaptée aux produits non linéaires (options, produits structurés).</w:t>
      </w:r>
    </w:p>
    <w:p w14:paraId="16EBE81A" w14:textId="77777777" w:rsidR="000E1F1B" w:rsidRDefault="000E1F1B"/>
    <w:p w14:paraId="7333E81D" w14:textId="77777777" w:rsidR="000E1F1B" w:rsidRDefault="00000000">
      <w:pPr>
        <w:spacing w:before="180" w:after="60"/>
      </w:pPr>
      <w:proofErr w:type="spellStart"/>
      <w:r>
        <w:rPr>
          <w:b/>
          <w:bCs/>
          <w:color w:val="534AB7"/>
          <w:sz w:val="22"/>
          <w:szCs w:val="22"/>
        </w:rPr>
        <w:t>Expected</w:t>
      </w:r>
      <w:proofErr w:type="spellEnd"/>
      <w:r>
        <w:rPr>
          <w:b/>
          <w:bCs/>
          <w:color w:val="534AB7"/>
          <w:sz w:val="22"/>
          <w:szCs w:val="22"/>
        </w:rPr>
        <w:t xml:space="preserve"> </w:t>
      </w:r>
      <w:proofErr w:type="spellStart"/>
      <w:r>
        <w:rPr>
          <w:b/>
          <w:bCs/>
          <w:color w:val="534AB7"/>
          <w:sz w:val="22"/>
          <w:szCs w:val="22"/>
        </w:rPr>
        <w:t>Shortfall</w:t>
      </w:r>
      <w:proofErr w:type="spellEnd"/>
      <w:r>
        <w:rPr>
          <w:b/>
          <w:bCs/>
          <w:color w:val="534AB7"/>
          <w:sz w:val="22"/>
          <w:szCs w:val="22"/>
        </w:rPr>
        <w:t xml:space="preserve"> (CVaR)</w:t>
      </w:r>
    </w:p>
    <w:p w14:paraId="295C82FE" w14:textId="77777777" w:rsidR="000E1F1B" w:rsidRDefault="00000000">
      <w:pPr>
        <w:spacing w:before="60" w:after="60"/>
      </w:pPr>
      <w:r>
        <w:rPr>
          <w:color w:val="333333"/>
        </w:rPr>
        <w:t>L'</w:t>
      </w:r>
      <w:proofErr w:type="spellStart"/>
      <w:r>
        <w:rPr>
          <w:color w:val="333333"/>
        </w:rPr>
        <w:t>Expected</w:t>
      </w:r>
      <w:proofErr w:type="spellEnd"/>
      <w:r>
        <w:rPr>
          <w:color w:val="333333"/>
        </w:rPr>
        <w:t xml:space="preserve"> </w:t>
      </w:r>
      <w:proofErr w:type="spellStart"/>
      <w:r>
        <w:rPr>
          <w:color w:val="333333"/>
        </w:rPr>
        <w:t>Shortfall</w:t>
      </w:r>
      <w:proofErr w:type="spellEnd"/>
      <w:r>
        <w:rPr>
          <w:color w:val="333333"/>
        </w:rPr>
        <w:t xml:space="preserve">, ou </w:t>
      </w:r>
      <w:proofErr w:type="spellStart"/>
      <w:r>
        <w:rPr>
          <w:color w:val="333333"/>
        </w:rPr>
        <w:t>Conditional</w:t>
      </w:r>
      <w:proofErr w:type="spellEnd"/>
      <w:r>
        <w:rPr>
          <w:color w:val="333333"/>
        </w:rPr>
        <w:t xml:space="preserve"> </w:t>
      </w:r>
      <w:proofErr w:type="spellStart"/>
      <w:r>
        <w:rPr>
          <w:color w:val="333333"/>
        </w:rPr>
        <w:t>VaR</w:t>
      </w:r>
      <w:proofErr w:type="spellEnd"/>
      <w:r>
        <w:rPr>
          <w:color w:val="333333"/>
        </w:rPr>
        <w:t xml:space="preserve">, mesure la perte moyenne au-delà du seuil de la </w:t>
      </w:r>
      <w:proofErr w:type="spellStart"/>
      <w:r>
        <w:rPr>
          <w:color w:val="333333"/>
        </w:rPr>
        <w:t>VaR.</w:t>
      </w:r>
      <w:proofErr w:type="spellEnd"/>
      <w:r>
        <w:rPr>
          <w:color w:val="333333"/>
        </w:rPr>
        <w:t xml:space="preserve"> C'est la mesure désormais exigée par le cadre FRTB (Fundamental </w:t>
      </w:r>
      <w:proofErr w:type="spellStart"/>
      <w:r>
        <w:rPr>
          <w:color w:val="333333"/>
        </w:rPr>
        <w:t>Review</w:t>
      </w:r>
      <w:proofErr w:type="spellEnd"/>
      <w:r>
        <w:rPr>
          <w:color w:val="333333"/>
        </w:rPr>
        <w:t xml:space="preserve"> of the Trading Book) de Bâle IV. Nexus Alpha accompagne les banques dans la transition de la </w:t>
      </w:r>
      <w:proofErr w:type="spellStart"/>
      <w:r>
        <w:rPr>
          <w:color w:val="333333"/>
        </w:rPr>
        <w:t>VaR</w:t>
      </w:r>
      <w:proofErr w:type="spellEnd"/>
      <w:r>
        <w:rPr>
          <w:color w:val="333333"/>
        </w:rPr>
        <w:t xml:space="preserve"> vers l'ES pour leur portefeuille de trading.</w:t>
      </w:r>
    </w:p>
    <w:p w14:paraId="5D1A17D3" w14:textId="77777777" w:rsidR="000E1F1B" w:rsidRDefault="000E1F1B"/>
    <w:p w14:paraId="4D10D36A" w14:textId="77777777" w:rsidR="000E1F1B" w:rsidRDefault="00000000">
      <w:pPr>
        <w:spacing w:before="180" w:after="60"/>
      </w:pPr>
      <w:r>
        <w:rPr>
          <w:b/>
          <w:bCs/>
          <w:color w:val="534AB7"/>
          <w:sz w:val="22"/>
          <w:szCs w:val="22"/>
        </w:rPr>
        <w:t xml:space="preserve">Stress </w:t>
      </w:r>
      <w:proofErr w:type="spellStart"/>
      <w:r>
        <w:rPr>
          <w:b/>
          <w:bCs/>
          <w:color w:val="534AB7"/>
          <w:sz w:val="22"/>
          <w:szCs w:val="22"/>
        </w:rPr>
        <w:t>Testing</w:t>
      </w:r>
      <w:proofErr w:type="spellEnd"/>
      <w:r>
        <w:rPr>
          <w:b/>
          <w:bCs/>
          <w:color w:val="534AB7"/>
          <w:sz w:val="22"/>
          <w:szCs w:val="22"/>
        </w:rPr>
        <w:t xml:space="preserve"> &amp; scénarios adverses</w:t>
      </w:r>
    </w:p>
    <w:p w14:paraId="198B7A94" w14:textId="77777777" w:rsidR="000E1F1B" w:rsidRDefault="00000000">
      <w:pPr>
        <w:spacing w:before="60" w:after="60"/>
      </w:pPr>
      <w:r>
        <w:rPr>
          <w:color w:val="333333"/>
        </w:rPr>
        <w:t>Les stress tests évaluent la résistance des portefeuilles à des chocs extrêmes. Nous concevons :</w:t>
      </w:r>
    </w:p>
    <w:p w14:paraId="16EA36EA" w14:textId="77777777" w:rsidR="000E1F1B" w:rsidRDefault="00000000">
      <w:pPr>
        <w:pStyle w:val="Paragraphedeliste"/>
        <w:numPr>
          <w:ilvl w:val="0"/>
          <w:numId w:val="2"/>
        </w:numPr>
        <w:spacing w:before="40" w:after="40"/>
      </w:pPr>
      <w:r>
        <w:rPr>
          <w:color w:val="333333"/>
        </w:rPr>
        <w:t>Scénarios historiques : crise 2008, COVID-19, dévaluations de devises africaines, chocs pétroliers</w:t>
      </w:r>
    </w:p>
    <w:p w14:paraId="32497CDC" w14:textId="77777777" w:rsidR="000E1F1B" w:rsidRDefault="00000000">
      <w:pPr>
        <w:pStyle w:val="Paragraphedeliste"/>
        <w:numPr>
          <w:ilvl w:val="0"/>
          <w:numId w:val="2"/>
        </w:numPr>
        <w:spacing w:before="40" w:after="40"/>
      </w:pPr>
      <w:r>
        <w:rPr>
          <w:color w:val="333333"/>
        </w:rPr>
        <w:t>Scénarios hypothétiques : dévaluation du FCFA, remontée brutale des taux BCEAO, crise souveraine</w:t>
      </w:r>
    </w:p>
    <w:p w14:paraId="4847D332" w14:textId="77777777" w:rsidR="000E1F1B" w:rsidRDefault="00000000">
      <w:pPr>
        <w:pStyle w:val="Paragraphedeliste"/>
        <w:numPr>
          <w:ilvl w:val="0"/>
          <w:numId w:val="2"/>
        </w:numPr>
        <w:spacing w:before="40" w:after="40"/>
      </w:pPr>
      <w:r>
        <w:rPr>
          <w:color w:val="333333"/>
        </w:rPr>
        <w:t>Scénarios adverses réglementaires : conformes aux exigences BCEAO et Bâle IV</w:t>
      </w:r>
    </w:p>
    <w:p w14:paraId="067E05C0" w14:textId="77777777" w:rsidR="000E1F1B" w:rsidRDefault="000E1F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579892CA" w14:textId="77777777">
        <w:tc>
          <w:tcPr>
            <w:tcW w:w="9360" w:type="dxa"/>
            <w:tcBorders>
              <w:top w:val="single" w:sz="4" w:space="0" w:color="534AB7"/>
              <w:left w:val="single" w:sz="12" w:space="0" w:color="534AB7"/>
              <w:bottom w:val="none" w:sz="0" w:space="0" w:color="FFFFFF"/>
              <w:right w:val="none" w:sz="0" w:space="0" w:color="FFFFFF"/>
            </w:tcBorders>
            <w:shd w:val="clear" w:color="auto" w:fill="EEEDFE"/>
            <w:tcMar>
              <w:top w:w="120" w:type="dxa"/>
              <w:left w:w="200" w:type="dxa"/>
              <w:bottom w:w="120" w:type="dxa"/>
              <w:right w:w="200" w:type="dxa"/>
            </w:tcMar>
          </w:tcPr>
          <w:p w14:paraId="2BAF4F66" w14:textId="77777777" w:rsidR="000E1F1B" w:rsidRDefault="00000000">
            <w:pPr>
              <w:spacing w:after="60"/>
            </w:pPr>
            <w:r>
              <w:rPr>
                <w:b/>
                <w:bCs/>
                <w:color w:val="3C3489"/>
                <w:sz w:val="20"/>
                <w:szCs w:val="20"/>
              </w:rPr>
              <w:t>Livrables — Mesure du risque de marché</w:t>
            </w:r>
          </w:p>
          <w:p w14:paraId="7F85BBD1" w14:textId="77777777" w:rsidR="000E1F1B" w:rsidRDefault="00000000">
            <w:pPr>
              <w:spacing w:before="20" w:after="20"/>
            </w:pPr>
            <w:r>
              <w:rPr>
                <w:color w:val="444444"/>
                <w:sz w:val="19"/>
                <w:szCs w:val="19"/>
              </w:rPr>
              <w:t xml:space="preserve">• Rapport </w:t>
            </w:r>
            <w:proofErr w:type="spellStart"/>
            <w:r>
              <w:rPr>
                <w:color w:val="444444"/>
                <w:sz w:val="19"/>
                <w:szCs w:val="19"/>
              </w:rPr>
              <w:t>VaR</w:t>
            </w:r>
            <w:proofErr w:type="spellEnd"/>
            <w:r>
              <w:rPr>
                <w:color w:val="444444"/>
                <w:sz w:val="19"/>
                <w:szCs w:val="19"/>
              </w:rPr>
              <w:t xml:space="preserve"> quotidien / hebdomadaire automatisé</w:t>
            </w:r>
          </w:p>
          <w:p w14:paraId="488330DE" w14:textId="77777777" w:rsidR="000E1F1B" w:rsidRDefault="00000000">
            <w:pPr>
              <w:spacing w:before="20" w:after="20"/>
            </w:pPr>
            <w:r>
              <w:rPr>
                <w:color w:val="444444"/>
                <w:sz w:val="19"/>
                <w:szCs w:val="19"/>
              </w:rPr>
              <w:t>• Modèle de calcul ES calibré sur données locales</w:t>
            </w:r>
          </w:p>
          <w:p w14:paraId="6BF69CDF" w14:textId="77777777" w:rsidR="000E1F1B" w:rsidRDefault="00000000">
            <w:pPr>
              <w:spacing w:before="20" w:after="20"/>
            </w:pPr>
            <w:r>
              <w:rPr>
                <w:color w:val="444444"/>
                <w:sz w:val="19"/>
                <w:szCs w:val="19"/>
              </w:rPr>
              <w:t>• Rapport de stress test avec cartographie des pertes par scénario</w:t>
            </w:r>
          </w:p>
          <w:p w14:paraId="6EED0A40" w14:textId="77777777" w:rsidR="000E1F1B" w:rsidRDefault="00000000">
            <w:pPr>
              <w:spacing w:before="20" w:after="20"/>
            </w:pPr>
            <w:r>
              <w:rPr>
                <w:color w:val="444444"/>
                <w:sz w:val="19"/>
                <w:szCs w:val="19"/>
              </w:rPr>
              <w:t>• Back-</w:t>
            </w:r>
            <w:proofErr w:type="spellStart"/>
            <w:r>
              <w:rPr>
                <w:color w:val="444444"/>
                <w:sz w:val="19"/>
                <w:szCs w:val="19"/>
              </w:rPr>
              <w:t>testing</w:t>
            </w:r>
            <w:proofErr w:type="spellEnd"/>
            <w:r>
              <w:rPr>
                <w:color w:val="444444"/>
                <w:sz w:val="19"/>
                <w:szCs w:val="19"/>
              </w:rPr>
              <w:t xml:space="preserve"> de la </w:t>
            </w:r>
            <w:proofErr w:type="spellStart"/>
            <w:r>
              <w:rPr>
                <w:color w:val="444444"/>
                <w:sz w:val="19"/>
                <w:szCs w:val="19"/>
              </w:rPr>
              <w:t>VaR</w:t>
            </w:r>
            <w:proofErr w:type="spellEnd"/>
            <w:r>
              <w:rPr>
                <w:color w:val="444444"/>
                <w:sz w:val="19"/>
                <w:szCs w:val="19"/>
              </w:rPr>
              <w:t xml:space="preserve"> (test de Kupiec, test de Christoffersen)</w:t>
            </w:r>
          </w:p>
          <w:p w14:paraId="16AF212E" w14:textId="77777777" w:rsidR="000E1F1B" w:rsidRDefault="00000000">
            <w:pPr>
              <w:spacing w:before="20" w:after="20"/>
            </w:pPr>
            <w:r>
              <w:rPr>
                <w:color w:val="444444"/>
                <w:sz w:val="19"/>
                <w:szCs w:val="19"/>
              </w:rPr>
              <w:t>• Documentation technique réglementaire (Bâle IV / FRTB)</w:t>
            </w:r>
          </w:p>
        </w:tc>
      </w:tr>
    </w:tbl>
    <w:p w14:paraId="13442840" w14:textId="77777777" w:rsidR="000E1F1B" w:rsidRDefault="000E1F1B"/>
    <w:p w14:paraId="6AE6F546" w14:textId="77777777" w:rsidR="00F87359" w:rsidRDefault="00F87359"/>
    <w:p w14:paraId="28510E31" w14:textId="77777777" w:rsidR="00F87359" w:rsidRDefault="00F87359"/>
    <w:p w14:paraId="38C8E310" w14:textId="77777777" w:rsidR="000E1F1B" w:rsidRDefault="00000000">
      <w:pPr>
        <w:pStyle w:val="Titre2"/>
      </w:pPr>
      <w:r>
        <w:lastRenderedPageBreak/>
        <w:t>1.2 — Risque de liquidité</w:t>
      </w:r>
    </w:p>
    <w:p w14:paraId="0DBB9F0D" w14:textId="77777777" w:rsidR="000E1F1B" w:rsidRDefault="00000000">
      <w:pPr>
        <w:spacing w:before="60" w:after="60"/>
      </w:pPr>
      <w:r>
        <w:rPr>
          <w:color w:val="333333"/>
        </w:rPr>
        <w:t>Le risque de liquidité est la probabilité qu'une institution ne puisse pas honorer ses engagements à court terme sans subir de pertes significatives. Ce risque est particulièrement prégnant dans les marchés africains à faible profondeur de liquidité.</w:t>
      </w:r>
    </w:p>
    <w:p w14:paraId="71D17F13" w14:textId="77777777" w:rsidR="000E1F1B" w:rsidRDefault="00000000">
      <w:pPr>
        <w:spacing w:before="180" w:after="60"/>
      </w:pPr>
      <w:r>
        <w:rPr>
          <w:b/>
          <w:bCs/>
          <w:color w:val="534AB7"/>
          <w:sz w:val="22"/>
          <w:szCs w:val="22"/>
        </w:rPr>
        <w:t>Ratios réglementaires</w:t>
      </w:r>
    </w:p>
    <w:p w14:paraId="0D04F571" w14:textId="77777777" w:rsidR="000E1F1B" w:rsidRDefault="00000000">
      <w:pPr>
        <w:pStyle w:val="Paragraphedeliste"/>
        <w:numPr>
          <w:ilvl w:val="0"/>
          <w:numId w:val="2"/>
        </w:numPr>
        <w:spacing w:before="40" w:after="40"/>
      </w:pPr>
      <w:r>
        <w:rPr>
          <w:color w:val="333333"/>
        </w:rPr>
        <w:t>LCR (</w:t>
      </w:r>
      <w:proofErr w:type="spellStart"/>
      <w:r>
        <w:rPr>
          <w:color w:val="333333"/>
        </w:rPr>
        <w:t>Liquidity</w:t>
      </w:r>
      <w:proofErr w:type="spellEnd"/>
      <w:r>
        <w:rPr>
          <w:color w:val="333333"/>
        </w:rPr>
        <w:t xml:space="preserve"> </w:t>
      </w:r>
      <w:proofErr w:type="spellStart"/>
      <w:r>
        <w:rPr>
          <w:color w:val="333333"/>
        </w:rPr>
        <w:t>Coverage</w:t>
      </w:r>
      <w:proofErr w:type="spellEnd"/>
      <w:r>
        <w:rPr>
          <w:color w:val="333333"/>
        </w:rPr>
        <w:t xml:space="preserve"> Ratio) : ratio de couverture de liquidité à 30 jours. Calcul, suivi et optimisation pour répondre aux exigences minimales de 100%.</w:t>
      </w:r>
    </w:p>
    <w:p w14:paraId="12489525" w14:textId="77777777" w:rsidR="000E1F1B" w:rsidRDefault="00000000">
      <w:pPr>
        <w:pStyle w:val="Paragraphedeliste"/>
        <w:numPr>
          <w:ilvl w:val="0"/>
          <w:numId w:val="2"/>
        </w:numPr>
        <w:spacing w:before="40" w:after="40"/>
      </w:pPr>
      <w:r>
        <w:rPr>
          <w:color w:val="333333"/>
        </w:rPr>
        <w:t>NSFR (Net Stable Funding Ratio) : ratio de financement stable net à 1 an. Analyse de la structure de financement et recommandations d'optimisation.</w:t>
      </w:r>
    </w:p>
    <w:p w14:paraId="058E5C8D" w14:textId="77777777" w:rsidR="000E1F1B" w:rsidRDefault="00000000">
      <w:pPr>
        <w:spacing w:before="180" w:after="60"/>
      </w:pPr>
      <w:r>
        <w:rPr>
          <w:b/>
          <w:bCs/>
          <w:color w:val="534AB7"/>
          <w:sz w:val="22"/>
          <w:szCs w:val="22"/>
        </w:rPr>
        <w:t>Gap de liquidité &amp; modélisation des flux</w:t>
      </w:r>
    </w:p>
    <w:p w14:paraId="418131DD" w14:textId="77777777" w:rsidR="000E1F1B" w:rsidRDefault="00000000">
      <w:pPr>
        <w:pStyle w:val="Paragraphedeliste"/>
        <w:numPr>
          <w:ilvl w:val="0"/>
          <w:numId w:val="2"/>
        </w:numPr>
        <w:spacing w:before="40" w:after="40"/>
      </w:pPr>
      <w:r>
        <w:rPr>
          <w:color w:val="333333"/>
        </w:rPr>
        <w:t>Construction du profil d'échéances contractuelles et comportementales</w:t>
      </w:r>
    </w:p>
    <w:p w14:paraId="1462BE4F" w14:textId="77777777" w:rsidR="000E1F1B" w:rsidRDefault="00000000">
      <w:pPr>
        <w:pStyle w:val="Paragraphedeliste"/>
        <w:numPr>
          <w:ilvl w:val="0"/>
          <w:numId w:val="2"/>
        </w:numPr>
        <w:spacing w:before="40" w:after="40"/>
      </w:pPr>
      <w:r>
        <w:rPr>
          <w:color w:val="333333"/>
        </w:rPr>
        <w:t>Modélisation des dépôts à vue (écoulement statistique sur données locales)</w:t>
      </w:r>
    </w:p>
    <w:p w14:paraId="2B2B9A11" w14:textId="77777777" w:rsidR="000E1F1B" w:rsidRDefault="00000000">
      <w:pPr>
        <w:pStyle w:val="Paragraphedeliste"/>
        <w:numPr>
          <w:ilvl w:val="0"/>
          <w:numId w:val="2"/>
        </w:numPr>
        <w:spacing w:before="40" w:after="40"/>
      </w:pPr>
      <w:r>
        <w:rPr>
          <w:color w:val="333333"/>
        </w:rPr>
        <w:t>Simulations de crise de liquidité (</w:t>
      </w:r>
      <w:proofErr w:type="spellStart"/>
      <w:r>
        <w:rPr>
          <w:color w:val="333333"/>
        </w:rPr>
        <w:t>bank</w:t>
      </w:r>
      <w:proofErr w:type="spellEnd"/>
      <w:r>
        <w:rPr>
          <w:color w:val="333333"/>
        </w:rPr>
        <w:t xml:space="preserve"> run, fermeture du marché interbancaire)</w:t>
      </w:r>
    </w:p>
    <w:p w14:paraId="42C24EF3" w14:textId="77777777" w:rsidR="000E1F1B" w:rsidRDefault="00000000">
      <w:pPr>
        <w:pStyle w:val="Paragraphedeliste"/>
        <w:numPr>
          <w:ilvl w:val="0"/>
          <w:numId w:val="2"/>
        </w:numPr>
        <w:spacing w:before="40" w:after="40"/>
      </w:pPr>
      <w:r>
        <w:rPr>
          <w:color w:val="333333"/>
        </w:rPr>
        <w:t>Plan de contingence liquidité (</w:t>
      </w:r>
      <w:proofErr w:type="spellStart"/>
      <w:r>
        <w:rPr>
          <w:color w:val="333333"/>
        </w:rPr>
        <w:t>Contingency</w:t>
      </w:r>
      <w:proofErr w:type="spellEnd"/>
      <w:r>
        <w:rPr>
          <w:color w:val="333333"/>
        </w:rPr>
        <w:t xml:space="preserve"> Funding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55960DF2" w14:textId="77777777">
        <w:tc>
          <w:tcPr>
            <w:tcW w:w="9360" w:type="dxa"/>
            <w:tcBorders>
              <w:top w:val="single" w:sz="4" w:space="0" w:color="1D9E75"/>
              <w:left w:val="single" w:sz="12" w:space="0" w:color="1D9E75"/>
              <w:bottom w:val="none" w:sz="0" w:space="0" w:color="FFFFFF"/>
              <w:right w:val="none" w:sz="0" w:space="0" w:color="FFFFFF"/>
            </w:tcBorders>
            <w:shd w:val="clear" w:color="auto" w:fill="E1F5EE"/>
            <w:tcMar>
              <w:top w:w="120" w:type="dxa"/>
              <w:left w:w="200" w:type="dxa"/>
              <w:bottom w:w="120" w:type="dxa"/>
              <w:right w:w="200" w:type="dxa"/>
            </w:tcMar>
          </w:tcPr>
          <w:p w14:paraId="335B92C6" w14:textId="77777777" w:rsidR="000E1F1B" w:rsidRDefault="00000000">
            <w:pPr>
              <w:spacing w:after="60"/>
            </w:pPr>
            <w:r>
              <w:rPr>
                <w:b/>
                <w:bCs/>
                <w:color w:val="3C3489"/>
                <w:sz w:val="20"/>
                <w:szCs w:val="20"/>
              </w:rPr>
              <w:t>Livrables — Risque de liquidité</w:t>
            </w:r>
          </w:p>
          <w:p w14:paraId="5B1A8F3E" w14:textId="77777777" w:rsidR="000E1F1B" w:rsidRDefault="00000000">
            <w:pPr>
              <w:spacing w:before="20" w:after="20"/>
            </w:pPr>
            <w:r>
              <w:rPr>
                <w:color w:val="444444"/>
                <w:sz w:val="19"/>
                <w:szCs w:val="19"/>
              </w:rPr>
              <w:t>• Modèle de calcul LCR / NSFR automatisé sous Excel / Python</w:t>
            </w:r>
          </w:p>
          <w:p w14:paraId="24F62B25" w14:textId="77777777" w:rsidR="000E1F1B" w:rsidRDefault="00000000">
            <w:pPr>
              <w:spacing w:before="20" w:after="20"/>
            </w:pPr>
            <w:r>
              <w:rPr>
                <w:color w:val="444444"/>
                <w:sz w:val="19"/>
                <w:szCs w:val="19"/>
              </w:rPr>
              <w:t>• Rapport de gap de liquidité mensuel avec courbes d'échéances</w:t>
            </w:r>
          </w:p>
          <w:p w14:paraId="12E1FA51" w14:textId="77777777" w:rsidR="000E1F1B" w:rsidRDefault="00000000">
            <w:pPr>
              <w:spacing w:before="20" w:after="20"/>
            </w:pPr>
            <w:r>
              <w:rPr>
                <w:color w:val="444444"/>
                <w:sz w:val="19"/>
                <w:szCs w:val="19"/>
              </w:rPr>
              <w:t>• Plan de contingence liquidité documenté</w:t>
            </w:r>
          </w:p>
          <w:p w14:paraId="024CC108" w14:textId="77777777" w:rsidR="000E1F1B" w:rsidRDefault="00000000">
            <w:pPr>
              <w:spacing w:before="20" w:after="20"/>
            </w:pPr>
            <w:r>
              <w:rPr>
                <w:color w:val="444444"/>
                <w:sz w:val="19"/>
                <w:szCs w:val="19"/>
              </w:rPr>
              <w:t>• Tableau de bord de suivi des indicateurs d'alerte précoce</w:t>
            </w:r>
          </w:p>
        </w:tc>
      </w:tr>
    </w:tbl>
    <w:p w14:paraId="78A1E60A" w14:textId="77777777" w:rsidR="000E1F1B" w:rsidRDefault="000E1F1B"/>
    <w:p w14:paraId="7602F867" w14:textId="77777777" w:rsidR="000E1F1B" w:rsidRDefault="00000000">
      <w:pPr>
        <w:pStyle w:val="Titre2"/>
      </w:pPr>
      <w:r>
        <w:t>1.3 — Gestion Actif-Passif (ALM) &amp; risque de taux</w:t>
      </w:r>
    </w:p>
    <w:p w14:paraId="6B008179" w14:textId="77777777" w:rsidR="000E1F1B" w:rsidRDefault="00000000">
      <w:pPr>
        <w:spacing w:before="60" w:after="60"/>
      </w:pPr>
      <w:r>
        <w:rPr>
          <w:color w:val="333333"/>
        </w:rPr>
        <w:t>L'Asset-</w:t>
      </w:r>
      <w:proofErr w:type="spellStart"/>
      <w:r>
        <w:rPr>
          <w:color w:val="333333"/>
        </w:rPr>
        <w:t>Liability</w:t>
      </w:r>
      <w:proofErr w:type="spellEnd"/>
      <w:r>
        <w:rPr>
          <w:color w:val="333333"/>
        </w:rPr>
        <w:t xml:space="preserve"> Management (ALM) vise à gérer l'équilibre entre les actifs et les passifs d'une institution financière, en particulier face aux variations de taux d'intérêt. C'est un enjeu central pour les banques de dépôt et les assureurs africains.</w:t>
      </w:r>
    </w:p>
    <w:p w14:paraId="0D73FB1E" w14:textId="77777777" w:rsidR="000E1F1B" w:rsidRDefault="00000000">
      <w:pPr>
        <w:spacing w:before="180" w:after="60"/>
      </w:pPr>
      <w:r>
        <w:rPr>
          <w:b/>
          <w:bCs/>
          <w:color w:val="534AB7"/>
          <w:sz w:val="22"/>
          <w:szCs w:val="22"/>
        </w:rPr>
        <w:t>Mesures de sensibilité aux taux</w:t>
      </w:r>
    </w:p>
    <w:p w14:paraId="357560A0" w14:textId="77777777" w:rsidR="000E1F1B" w:rsidRDefault="00000000">
      <w:pPr>
        <w:pStyle w:val="Paragraphedeliste"/>
        <w:numPr>
          <w:ilvl w:val="0"/>
          <w:numId w:val="2"/>
        </w:numPr>
        <w:spacing w:before="40" w:after="40"/>
      </w:pPr>
      <w:r>
        <w:rPr>
          <w:color w:val="333333"/>
        </w:rPr>
        <w:t>Duration et duration modifiée : sensibilité de la valeur économique aux variations de taux</w:t>
      </w:r>
    </w:p>
    <w:p w14:paraId="7308B2D6" w14:textId="77777777" w:rsidR="000E1F1B" w:rsidRDefault="00000000">
      <w:pPr>
        <w:pStyle w:val="Paragraphedeliste"/>
        <w:numPr>
          <w:ilvl w:val="0"/>
          <w:numId w:val="2"/>
        </w:numPr>
        <w:spacing w:before="40" w:after="40"/>
      </w:pPr>
      <w:r>
        <w:rPr>
          <w:color w:val="333333"/>
        </w:rPr>
        <w:t>Convexité : mesure de la courbure de la relation prix-taux pour les obligations et portefeuilles</w:t>
      </w:r>
    </w:p>
    <w:p w14:paraId="2FC1BE58" w14:textId="77777777" w:rsidR="000E1F1B" w:rsidRDefault="00000000">
      <w:pPr>
        <w:pStyle w:val="Paragraphedeliste"/>
        <w:numPr>
          <w:ilvl w:val="0"/>
          <w:numId w:val="2"/>
        </w:numPr>
        <w:spacing w:before="40" w:after="40"/>
      </w:pPr>
      <w:r>
        <w:rPr>
          <w:color w:val="333333"/>
        </w:rPr>
        <w:t>DV01 (Dollar Value of 1 basis point) : impact d'une variation de 1 point de base</w:t>
      </w:r>
    </w:p>
    <w:p w14:paraId="36B00086" w14:textId="77777777" w:rsidR="000E1F1B" w:rsidRDefault="00000000">
      <w:pPr>
        <w:pStyle w:val="Paragraphedeliste"/>
        <w:numPr>
          <w:ilvl w:val="0"/>
          <w:numId w:val="2"/>
        </w:numPr>
        <w:spacing w:before="40" w:after="40"/>
      </w:pPr>
      <w:r>
        <w:rPr>
          <w:color w:val="333333"/>
        </w:rPr>
        <w:t>BPV (Basis Point Value) : outil de couverture et de gestion des positions obligataires</w:t>
      </w:r>
    </w:p>
    <w:p w14:paraId="1910E442" w14:textId="77777777" w:rsidR="000E1F1B" w:rsidRDefault="00000000">
      <w:pPr>
        <w:spacing w:before="180" w:after="60"/>
      </w:pPr>
      <w:r>
        <w:rPr>
          <w:b/>
          <w:bCs/>
          <w:color w:val="534AB7"/>
          <w:sz w:val="22"/>
          <w:szCs w:val="22"/>
        </w:rPr>
        <w:t>IRRBB — Risque de taux dans le portefeuille bancaire</w:t>
      </w:r>
    </w:p>
    <w:p w14:paraId="381167B5" w14:textId="77777777" w:rsidR="000E1F1B" w:rsidRDefault="00000000">
      <w:pPr>
        <w:spacing w:before="60" w:after="60"/>
      </w:pPr>
      <w:r>
        <w:rPr>
          <w:color w:val="333333"/>
        </w:rPr>
        <w:t>Conforme aux exigences Bâle IV / IRRBB, Nexus Alpha modélise :</w:t>
      </w:r>
    </w:p>
    <w:p w14:paraId="0EC45948" w14:textId="77777777" w:rsidR="000E1F1B" w:rsidRDefault="00000000">
      <w:pPr>
        <w:pStyle w:val="Paragraphedeliste"/>
        <w:numPr>
          <w:ilvl w:val="0"/>
          <w:numId w:val="2"/>
        </w:numPr>
        <w:spacing w:before="40" w:after="40"/>
      </w:pPr>
      <w:r>
        <w:rPr>
          <w:color w:val="333333"/>
        </w:rPr>
        <w:t>EVE (</w:t>
      </w:r>
      <w:proofErr w:type="spellStart"/>
      <w:r>
        <w:rPr>
          <w:color w:val="333333"/>
        </w:rPr>
        <w:t>Economic</w:t>
      </w:r>
      <w:proofErr w:type="spellEnd"/>
      <w:r>
        <w:rPr>
          <w:color w:val="333333"/>
        </w:rPr>
        <w:t xml:space="preserve"> Value of </w:t>
      </w:r>
      <w:proofErr w:type="spellStart"/>
      <w:r>
        <w:rPr>
          <w:color w:val="333333"/>
        </w:rPr>
        <w:t>Equity</w:t>
      </w:r>
      <w:proofErr w:type="spellEnd"/>
      <w:r>
        <w:rPr>
          <w:color w:val="333333"/>
        </w:rPr>
        <w:t>) : impact des chocs de taux sur la valeur économique des fonds propres</w:t>
      </w:r>
    </w:p>
    <w:p w14:paraId="1DA1E06C" w14:textId="77777777" w:rsidR="000E1F1B" w:rsidRDefault="00000000">
      <w:pPr>
        <w:pStyle w:val="Paragraphedeliste"/>
        <w:numPr>
          <w:ilvl w:val="0"/>
          <w:numId w:val="2"/>
        </w:numPr>
        <w:spacing w:before="40" w:after="40"/>
      </w:pPr>
      <w:r>
        <w:rPr>
          <w:color w:val="333333"/>
        </w:rPr>
        <w:t xml:space="preserve">NII (Net </w:t>
      </w:r>
      <w:proofErr w:type="spellStart"/>
      <w:r>
        <w:rPr>
          <w:color w:val="333333"/>
        </w:rPr>
        <w:t>Interest</w:t>
      </w:r>
      <w:proofErr w:type="spellEnd"/>
      <w:r>
        <w:rPr>
          <w:color w:val="333333"/>
        </w:rPr>
        <w:t xml:space="preserve"> </w:t>
      </w:r>
      <w:proofErr w:type="spellStart"/>
      <w:r>
        <w:rPr>
          <w:color w:val="333333"/>
        </w:rPr>
        <w:t>Income</w:t>
      </w:r>
      <w:proofErr w:type="spellEnd"/>
      <w:r>
        <w:rPr>
          <w:color w:val="333333"/>
        </w:rPr>
        <w:t>) : impact sur le revenu net d'intérêt à 12 mois</w:t>
      </w:r>
    </w:p>
    <w:p w14:paraId="662B4ABA" w14:textId="77777777" w:rsidR="000E1F1B" w:rsidRDefault="00000000">
      <w:pPr>
        <w:pStyle w:val="Paragraphedeliste"/>
        <w:numPr>
          <w:ilvl w:val="0"/>
          <w:numId w:val="2"/>
        </w:numPr>
        <w:spacing w:before="40" w:after="40"/>
      </w:pPr>
      <w:r>
        <w:rPr>
          <w:color w:val="333333"/>
        </w:rPr>
        <w:t>Les 6 scénarios de choc réglementaires (parallèle, pentification, aplatissement, court terme, long terme)</w:t>
      </w:r>
    </w:p>
    <w:p w14:paraId="25DEA3F4" w14:textId="77777777" w:rsidR="000E1F1B" w:rsidRDefault="00000000">
      <w:pPr>
        <w:spacing w:before="180" w:after="60"/>
      </w:pPr>
      <w:r>
        <w:rPr>
          <w:b/>
          <w:bCs/>
          <w:color w:val="534AB7"/>
          <w:sz w:val="22"/>
          <w:szCs w:val="22"/>
        </w:rPr>
        <w:t>Immunisation &amp; couverture de portefeuille</w:t>
      </w:r>
    </w:p>
    <w:p w14:paraId="69448E12" w14:textId="77777777" w:rsidR="000E1F1B" w:rsidRDefault="00000000">
      <w:pPr>
        <w:pStyle w:val="Paragraphedeliste"/>
        <w:numPr>
          <w:ilvl w:val="0"/>
          <w:numId w:val="2"/>
        </w:numPr>
        <w:spacing w:before="40" w:after="40"/>
      </w:pPr>
      <w:r>
        <w:rPr>
          <w:color w:val="333333"/>
        </w:rPr>
        <w:t>Stratégies d'immunisation : alignement de la duration actif / passif</w:t>
      </w:r>
    </w:p>
    <w:p w14:paraId="060B3EDB" w14:textId="77777777" w:rsidR="000E1F1B" w:rsidRDefault="00000000">
      <w:pPr>
        <w:pStyle w:val="Paragraphedeliste"/>
        <w:numPr>
          <w:ilvl w:val="0"/>
          <w:numId w:val="2"/>
        </w:numPr>
        <w:spacing w:before="40" w:after="40"/>
      </w:pPr>
      <w:r>
        <w:rPr>
          <w:color w:val="333333"/>
        </w:rPr>
        <w:t xml:space="preserve">Couverture par dérivés de taux : swaps de taux, FRA, caps et </w:t>
      </w:r>
      <w:proofErr w:type="spellStart"/>
      <w:r>
        <w:rPr>
          <w:color w:val="333333"/>
        </w:rPr>
        <w:t>floors</w:t>
      </w:r>
      <w:proofErr w:type="spellEnd"/>
    </w:p>
    <w:p w14:paraId="787703C3" w14:textId="77777777" w:rsidR="000E1F1B" w:rsidRDefault="00000000">
      <w:pPr>
        <w:pStyle w:val="Paragraphedeliste"/>
        <w:numPr>
          <w:ilvl w:val="0"/>
          <w:numId w:val="2"/>
        </w:numPr>
        <w:spacing w:before="40" w:after="40"/>
      </w:pPr>
      <w:r>
        <w:rPr>
          <w:color w:val="333333"/>
        </w:rPr>
        <w:t>Optimisation de la structure du bilan pour minimiser l'exposition aux taux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73DE5461" w14:textId="77777777">
        <w:tc>
          <w:tcPr>
            <w:tcW w:w="9360" w:type="dxa"/>
            <w:tcBorders>
              <w:top w:val="single" w:sz="4" w:space="0" w:color="534AB7"/>
              <w:left w:val="single" w:sz="12" w:space="0" w:color="534AB7"/>
              <w:bottom w:val="none" w:sz="0" w:space="0" w:color="FFFFFF"/>
              <w:right w:val="none" w:sz="0" w:space="0" w:color="FFFFFF"/>
            </w:tcBorders>
            <w:shd w:val="clear" w:color="auto" w:fill="EEEDFE"/>
            <w:tcMar>
              <w:top w:w="120" w:type="dxa"/>
              <w:left w:w="200" w:type="dxa"/>
              <w:bottom w:w="120" w:type="dxa"/>
              <w:right w:w="200" w:type="dxa"/>
            </w:tcMar>
          </w:tcPr>
          <w:p w14:paraId="08D8567D" w14:textId="77777777" w:rsidR="000E1F1B" w:rsidRDefault="00000000">
            <w:pPr>
              <w:spacing w:after="60"/>
            </w:pPr>
            <w:r>
              <w:rPr>
                <w:b/>
                <w:bCs/>
                <w:color w:val="3C3489"/>
                <w:sz w:val="20"/>
                <w:szCs w:val="20"/>
              </w:rPr>
              <w:t>Livrables — ALM &amp; risque de taux</w:t>
            </w:r>
          </w:p>
          <w:p w14:paraId="6E7ABC9E" w14:textId="77777777" w:rsidR="000E1F1B" w:rsidRDefault="00000000">
            <w:pPr>
              <w:spacing w:before="20" w:after="20"/>
            </w:pPr>
            <w:r>
              <w:rPr>
                <w:color w:val="444444"/>
                <w:sz w:val="19"/>
                <w:szCs w:val="19"/>
              </w:rPr>
              <w:t>• Modèle ALM complet (bilan, duration, gaps de taux)</w:t>
            </w:r>
          </w:p>
          <w:p w14:paraId="75A2F6FA" w14:textId="77777777" w:rsidR="000E1F1B" w:rsidRDefault="00000000">
            <w:pPr>
              <w:spacing w:before="20" w:after="20"/>
            </w:pPr>
            <w:r>
              <w:rPr>
                <w:color w:val="444444"/>
                <w:sz w:val="19"/>
                <w:szCs w:val="19"/>
              </w:rPr>
              <w:t>• Rapport IRRBB conforme Bâle IV (EVE + NII, 6 scénarios)</w:t>
            </w:r>
          </w:p>
          <w:p w14:paraId="07E9BF26" w14:textId="77777777" w:rsidR="000E1F1B" w:rsidRDefault="00000000">
            <w:pPr>
              <w:spacing w:before="20" w:after="20"/>
            </w:pPr>
            <w:r>
              <w:rPr>
                <w:color w:val="444444"/>
                <w:sz w:val="19"/>
                <w:szCs w:val="19"/>
              </w:rPr>
              <w:t>• Stratégie de couverture documentée avec scénarios comparatifs</w:t>
            </w:r>
          </w:p>
          <w:p w14:paraId="2D56BEB1" w14:textId="77777777" w:rsidR="000E1F1B" w:rsidRDefault="00000000">
            <w:pPr>
              <w:spacing w:before="20" w:after="20"/>
            </w:pPr>
            <w:r>
              <w:rPr>
                <w:color w:val="444444"/>
                <w:sz w:val="19"/>
                <w:szCs w:val="19"/>
              </w:rPr>
              <w:t>• Tableau de bord ALM mensuel pour le Comité de Gestion des Risques</w:t>
            </w:r>
          </w:p>
        </w:tc>
      </w:tr>
    </w:tbl>
    <w:p w14:paraId="33580367" w14:textId="77777777" w:rsidR="000E1F1B" w:rsidRDefault="000E1F1B"/>
    <w:p w14:paraId="52874B20" w14:textId="77777777" w:rsidR="000E1F1B" w:rsidRDefault="00000000">
      <w:pPr>
        <w:pStyle w:val="Titre2"/>
      </w:pPr>
      <w:r>
        <w:lastRenderedPageBreak/>
        <w:t>1.4 — Risque de change (FX) &amp; matières premières</w:t>
      </w:r>
    </w:p>
    <w:p w14:paraId="2B59FA1F" w14:textId="77777777" w:rsidR="000E1F1B" w:rsidRDefault="00000000">
      <w:pPr>
        <w:spacing w:before="60" w:after="60"/>
      </w:pPr>
      <w:r>
        <w:rPr>
          <w:color w:val="333333"/>
        </w:rPr>
        <w:t>Pour les entreprises et banques exposées aux fluctuations du FCFA, de l'euro, du dollar et des devises africaines, Nexus Alpha propose une approche complète de quantification et de couverture.</w:t>
      </w:r>
    </w:p>
    <w:p w14:paraId="35DD3587" w14:textId="77777777" w:rsidR="000E1F1B" w:rsidRDefault="00000000">
      <w:pPr>
        <w:spacing w:before="180" w:after="60"/>
      </w:pPr>
      <w:r>
        <w:rPr>
          <w:b/>
          <w:bCs/>
          <w:color w:val="534AB7"/>
          <w:sz w:val="22"/>
          <w:szCs w:val="22"/>
        </w:rPr>
        <w:t>Quantification du risque FX</w:t>
      </w:r>
    </w:p>
    <w:p w14:paraId="025B53B7" w14:textId="77777777" w:rsidR="000E1F1B" w:rsidRDefault="00000000">
      <w:pPr>
        <w:pStyle w:val="Paragraphedeliste"/>
        <w:numPr>
          <w:ilvl w:val="0"/>
          <w:numId w:val="2"/>
        </w:numPr>
        <w:spacing w:before="40" w:after="40"/>
      </w:pPr>
      <w:r>
        <w:rPr>
          <w:color w:val="333333"/>
        </w:rPr>
        <w:t>Position de change nette par devise : calcul de l'exposition brute et nette</w:t>
      </w:r>
    </w:p>
    <w:p w14:paraId="04A73487" w14:textId="77777777" w:rsidR="000E1F1B" w:rsidRDefault="00000000">
      <w:pPr>
        <w:pStyle w:val="Paragraphedeliste"/>
        <w:numPr>
          <w:ilvl w:val="0"/>
          <w:numId w:val="2"/>
        </w:numPr>
        <w:spacing w:before="40" w:after="40"/>
      </w:pPr>
      <w:proofErr w:type="spellStart"/>
      <w:r>
        <w:rPr>
          <w:color w:val="333333"/>
        </w:rPr>
        <w:t>VaR</w:t>
      </w:r>
      <w:proofErr w:type="spellEnd"/>
      <w:r>
        <w:rPr>
          <w:color w:val="333333"/>
        </w:rPr>
        <w:t xml:space="preserve"> de change : simulation des pertes potentielles sur les positions FX</w:t>
      </w:r>
    </w:p>
    <w:p w14:paraId="1D96D67F" w14:textId="77777777" w:rsidR="000E1F1B" w:rsidRDefault="00000000">
      <w:pPr>
        <w:pStyle w:val="Paragraphedeliste"/>
        <w:numPr>
          <w:ilvl w:val="0"/>
          <w:numId w:val="2"/>
        </w:numPr>
        <w:spacing w:before="40" w:after="40"/>
      </w:pPr>
      <w:r>
        <w:rPr>
          <w:color w:val="333333"/>
        </w:rPr>
        <w:t>Corrélations inter-devises : impact des dépendances entre paires de devises africaines</w:t>
      </w:r>
    </w:p>
    <w:p w14:paraId="3EAF7A21" w14:textId="77777777" w:rsidR="000E1F1B" w:rsidRDefault="00000000">
      <w:pPr>
        <w:spacing w:before="180" w:after="60"/>
      </w:pPr>
      <w:r>
        <w:rPr>
          <w:b/>
          <w:bCs/>
          <w:color w:val="534AB7"/>
          <w:sz w:val="22"/>
          <w:szCs w:val="22"/>
        </w:rPr>
        <w:t>Stratégies de couverture</w:t>
      </w:r>
    </w:p>
    <w:p w14:paraId="6CED10D3" w14:textId="77777777" w:rsidR="000E1F1B" w:rsidRDefault="00000000">
      <w:pPr>
        <w:pStyle w:val="Paragraphedeliste"/>
        <w:numPr>
          <w:ilvl w:val="0"/>
          <w:numId w:val="2"/>
        </w:numPr>
        <w:spacing w:before="40" w:after="40"/>
      </w:pPr>
      <w:proofErr w:type="spellStart"/>
      <w:r>
        <w:rPr>
          <w:color w:val="333333"/>
        </w:rPr>
        <w:t>Forwards</w:t>
      </w:r>
      <w:proofErr w:type="spellEnd"/>
      <w:r>
        <w:rPr>
          <w:color w:val="333333"/>
        </w:rPr>
        <w:t xml:space="preserve"> et swaps de change : couverture naturelle des flux commerciaux</w:t>
      </w:r>
    </w:p>
    <w:p w14:paraId="5DAB6616" w14:textId="77777777" w:rsidR="000E1F1B" w:rsidRDefault="00000000">
      <w:pPr>
        <w:pStyle w:val="Paragraphedeliste"/>
        <w:numPr>
          <w:ilvl w:val="0"/>
          <w:numId w:val="2"/>
        </w:numPr>
        <w:spacing w:before="40" w:after="40"/>
      </w:pPr>
      <w:r>
        <w:rPr>
          <w:color w:val="333333"/>
        </w:rPr>
        <w:t>Options de change : protection asymétrique contre la dépréciation</w:t>
      </w:r>
    </w:p>
    <w:p w14:paraId="13784884" w14:textId="77777777" w:rsidR="000E1F1B" w:rsidRDefault="00000000">
      <w:pPr>
        <w:pStyle w:val="Paragraphedeliste"/>
        <w:numPr>
          <w:ilvl w:val="0"/>
          <w:numId w:val="2"/>
        </w:numPr>
        <w:spacing w:before="40" w:after="40"/>
      </w:pPr>
      <w:r>
        <w:rPr>
          <w:color w:val="333333"/>
        </w:rPr>
        <w:t>Optimisation du ratio de couverture (</w:t>
      </w:r>
      <w:proofErr w:type="spellStart"/>
      <w:r>
        <w:rPr>
          <w:color w:val="333333"/>
        </w:rPr>
        <w:t>hedge</w:t>
      </w:r>
      <w:proofErr w:type="spellEnd"/>
      <w:r>
        <w:rPr>
          <w:color w:val="333333"/>
        </w:rPr>
        <w:t xml:space="preserve"> ratio) par méthode des moindres carrés</w:t>
      </w:r>
    </w:p>
    <w:p w14:paraId="0882A05C" w14:textId="77777777" w:rsidR="000E1F1B" w:rsidRDefault="00000000">
      <w:pPr>
        <w:spacing w:before="180" w:after="60"/>
      </w:pPr>
      <w:r>
        <w:rPr>
          <w:b/>
          <w:bCs/>
          <w:color w:val="534AB7"/>
          <w:sz w:val="22"/>
          <w:szCs w:val="22"/>
        </w:rPr>
        <w:t>Risque sur matières premières</w:t>
      </w:r>
    </w:p>
    <w:p w14:paraId="164EA9F0" w14:textId="77777777" w:rsidR="000E1F1B" w:rsidRDefault="00000000">
      <w:pPr>
        <w:pStyle w:val="Paragraphedeliste"/>
        <w:numPr>
          <w:ilvl w:val="0"/>
          <w:numId w:val="2"/>
        </w:numPr>
        <w:spacing w:before="40" w:after="40"/>
      </w:pPr>
      <w:r>
        <w:rPr>
          <w:color w:val="333333"/>
        </w:rPr>
        <w:t>Modélisation des prix du cacao, café, or, pétrole, coton (produits clés en Afrique de l'Ouest)</w:t>
      </w:r>
    </w:p>
    <w:p w14:paraId="62DA1EB9" w14:textId="77777777" w:rsidR="000E1F1B" w:rsidRDefault="00000000">
      <w:pPr>
        <w:pStyle w:val="Paragraphedeliste"/>
        <w:numPr>
          <w:ilvl w:val="0"/>
          <w:numId w:val="2"/>
        </w:numPr>
        <w:spacing w:before="40" w:after="40"/>
      </w:pPr>
      <w:r>
        <w:rPr>
          <w:color w:val="333333"/>
        </w:rPr>
        <w:t>Corrélations matières premières / devises africaines</w:t>
      </w:r>
    </w:p>
    <w:p w14:paraId="64D9846F" w14:textId="77777777" w:rsidR="000E1F1B" w:rsidRDefault="00000000">
      <w:pPr>
        <w:pStyle w:val="Paragraphedeliste"/>
        <w:numPr>
          <w:ilvl w:val="0"/>
          <w:numId w:val="2"/>
        </w:numPr>
        <w:spacing w:before="40" w:after="40"/>
      </w:pPr>
      <w:r>
        <w:rPr>
          <w:color w:val="333333"/>
        </w:rPr>
        <w:t xml:space="preserve">Stratégies de couverture pour les </w:t>
      </w:r>
      <w:proofErr w:type="spellStart"/>
      <w:r>
        <w:rPr>
          <w:color w:val="333333"/>
        </w:rPr>
        <w:t>corporates</w:t>
      </w:r>
      <w:proofErr w:type="spellEnd"/>
      <w:r>
        <w:rPr>
          <w:color w:val="333333"/>
        </w:rPr>
        <w:t xml:space="preserve"> exportateurs et importateurs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3EFA91C4" w14:textId="77777777">
        <w:tc>
          <w:tcPr>
            <w:tcW w:w="9360" w:type="dxa"/>
            <w:tcBorders>
              <w:top w:val="single" w:sz="4" w:space="0" w:color="BA7517"/>
              <w:left w:val="single" w:sz="12" w:space="0" w:color="BA7517"/>
              <w:bottom w:val="none" w:sz="0" w:space="0" w:color="FFFFFF"/>
              <w:right w:val="none" w:sz="0" w:space="0" w:color="FFFFFF"/>
            </w:tcBorders>
            <w:shd w:val="clear" w:color="auto" w:fill="FAEEDA"/>
            <w:tcMar>
              <w:top w:w="120" w:type="dxa"/>
              <w:left w:w="200" w:type="dxa"/>
              <w:bottom w:w="120" w:type="dxa"/>
              <w:right w:w="200" w:type="dxa"/>
            </w:tcMar>
          </w:tcPr>
          <w:p w14:paraId="07BA7F61" w14:textId="77777777" w:rsidR="000E1F1B" w:rsidRDefault="00000000">
            <w:pPr>
              <w:spacing w:after="60"/>
            </w:pPr>
            <w:r>
              <w:rPr>
                <w:b/>
                <w:bCs/>
                <w:color w:val="3C3489"/>
                <w:sz w:val="20"/>
                <w:szCs w:val="20"/>
              </w:rPr>
              <w:t>Livrables — Risque FX &amp; commodités</w:t>
            </w:r>
          </w:p>
          <w:p w14:paraId="18B552AE" w14:textId="77777777" w:rsidR="000E1F1B" w:rsidRDefault="00000000">
            <w:pPr>
              <w:spacing w:before="20" w:after="20"/>
            </w:pPr>
            <w:r>
              <w:rPr>
                <w:color w:val="444444"/>
                <w:sz w:val="19"/>
                <w:szCs w:val="19"/>
              </w:rPr>
              <w:t>• Rapport de position de change nette consolidée</w:t>
            </w:r>
          </w:p>
          <w:p w14:paraId="7F3197A7" w14:textId="77777777" w:rsidR="000E1F1B" w:rsidRDefault="00000000">
            <w:pPr>
              <w:spacing w:before="20" w:after="20"/>
            </w:pPr>
            <w:r>
              <w:rPr>
                <w:color w:val="444444"/>
                <w:sz w:val="19"/>
                <w:szCs w:val="19"/>
              </w:rPr>
              <w:t xml:space="preserve">• Modèle </w:t>
            </w:r>
            <w:proofErr w:type="spellStart"/>
            <w:r>
              <w:rPr>
                <w:color w:val="444444"/>
                <w:sz w:val="19"/>
                <w:szCs w:val="19"/>
              </w:rPr>
              <w:t>VaR</w:t>
            </w:r>
            <w:proofErr w:type="spellEnd"/>
            <w:r>
              <w:rPr>
                <w:color w:val="444444"/>
                <w:sz w:val="19"/>
                <w:szCs w:val="19"/>
              </w:rPr>
              <w:t xml:space="preserve"> de change automatisé</w:t>
            </w:r>
          </w:p>
          <w:p w14:paraId="2C93D595" w14:textId="77777777" w:rsidR="000E1F1B" w:rsidRDefault="00000000">
            <w:pPr>
              <w:spacing w:before="20" w:after="20"/>
            </w:pPr>
            <w:r>
              <w:rPr>
                <w:color w:val="444444"/>
                <w:sz w:val="19"/>
                <w:szCs w:val="19"/>
              </w:rPr>
              <w:t xml:space="preserve">• Stratégie de couverture FX avec </w:t>
            </w:r>
            <w:proofErr w:type="spellStart"/>
            <w:r>
              <w:rPr>
                <w:color w:val="444444"/>
                <w:sz w:val="19"/>
                <w:szCs w:val="19"/>
              </w:rPr>
              <w:t>backtesting</w:t>
            </w:r>
            <w:proofErr w:type="spellEnd"/>
            <w:r>
              <w:rPr>
                <w:color w:val="444444"/>
                <w:sz w:val="19"/>
                <w:szCs w:val="19"/>
              </w:rPr>
              <w:t xml:space="preserve"> de performance</w:t>
            </w:r>
          </w:p>
          <w:p w14:paraId="3E758EF8" w14:textId="77777777" w:rsidR="000E1F1B" w:rsidRDefault="00000000">
            <w:pPr>
              <w:spacing w:before="20" w:after="20"/>
            </w:pPr>
            <w:r>
              <w:rPr>
                <w:color w:val="444444"/>
                <w:sz w:val="19"/>
                <w:szCs w:val="19"/>
              </w:rPr>
              <w:t>• Analyse de sensibilité prix matières premières / impact P&amp;L</w:t>
            </w:r>
          </w:p>
        </w:tc>
      </w:tr>
    </w:tbl>
    <w:p w14:paraId="2DB6E598" w14:textId="77777777" w:rsidR="000E1F1B" w:rsidRDefault="000E1F1B"/>
    <w:p w14:paraId="5C92C671" w14:textId="77777777" w:rsidR="000E1F1B" w:rsidRDefault="00000000">
      <w:pPr>
        <w:pStyle w:val="Titre2"/>
      </w:pPr>
      <w:r>
        <w:t>Référentiel réglementaire — Pôle Risque de marché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0E1F1B" w14:paraId="74B36FBF"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90" w:type="dxa"/>
              <w:left w:w="130" w:type="dxa"/>
              <w:bottom w:w="90" w:type="dxa"/>
              <w:right w:w="130" w:type="dxa"/>
            </w:tcMar>
            <w:vAlign w:val="center"/>
          </w:tcPr>
          <w:p w14:paraId="05D3CF2C" w14:textId="77777777" w:rsidR="000E1F1B" w:rsidRDefault="00000000">
            <w:r>
              <w:rPr>
                <w:b/>
                <w:bCs/>
                <w:color w:val="FFFFFF"/>
                <w:sz w:val="20"/>
                <w:szCs w:val="20"/>
              </w:rPr>
              <w:t>Réglementation</w:t>
            </w:r>
          </w:p>
        </w:tc>
        <w:tc>
          <w:tcPr>
            <w:tcW w:w="3760" w:type="dxa"/>
            <w:tcBorders>
              <w:top w:val="single" w:sz="1" w:space="0" w:color="CCCCCC"/>
              <w:left w:val="single" w:sz="1" w:space="0" w:color="CCCCCC"/>
              <w:bottom w:val="single" w:sz="1" w:space="0" w:color="CCCCCC"/>
              <w:right w:val="single" w:sz="1" w:space="0" w:color="CCCCCC"/>
            </w:tcBorders>
            <w:shd w:val="clear" w:color="auto" w:fill="3C3489"/>
            <w:tcMar>
              <w:top w:w="90" w:type="dxa"/>
              <w:left w:w="130" w:type="dxa"/>
              <w:bottom w:w="90" w:type="dxa"/>
              <w:right w:w="130" w:type="dxa"/>
            </w:tcMar>
            <w:vAlign w:val="center"/>
          </w:tcPr>
          <w:p w14:paraId="29BF709A" w14:textId="77777777" w:rsidR="000E1F1B" w:rsidRDefault="00000000">
            <w:r>
              <w:rPr>
                <w:b/>
                <w:bCs/>
                <w:color w:val="FFFFFF"/>
                <w:sz w:val="20"/>
                <w:szCs w:val="20"/>
              </w:rPr>
              <w:t>Contenu principal</w:t>
            </w:r>
          </w:p>
        </w:tc>
        <w:tc>
          <w:tcPr>
            <w:tcW w:w="3000" w:type="dxa"/>
            <w:tcBorders>
              <w:top w:val="single" w:sz="1" w:space="0" w:color="CCCCCC"/>
              <w:left w:val="single" w:sz="1" w:space="0" w:color="CCCCCC"/>
              <w:bottom w:val="single" w:sz="1" w:space="0" w:color="CCCCCC"/>
              <w:right w:val="single" w:sz="1" w:space="0" w:color="CCCCCC"/>
            </w:tcBorders>
            <w:shd w:val="clear" w:color="auto" w:fill="3C3489"/>
            <w:tcMar>
              <w:top w:w="90" w:type="dxa"/>
              <w:left w:w="130" w:type="dxa"/>
              <w:bottom w:w="90" w:type="dxa"/>
              <w:right w:w="130" w:type="dxa"/>
            </w:tcMar>
            <w:vAlign w:val="center"/>
          </w:tcPr>
          <w:p w14:paraId="304F7E77" w14:textId="77777777" w:rsidR="000E1F1B" w:rsidRDefault="00000000">
            <w:r>
              <w:rPr>
                <w:b/>
                <w:bCs/>
                <w:color w:val="FFFFFF"/>
                <w:sz w:val="20"/>
                <w:szCs w:val="20"/>
              </w:rPr>
              <w:t>Application</w:t>
            </w:r>
          </w:p>
        </w:tc>
      </w:tr>
      <w:tr w:rsidR="000E1F1B" w14:paraId="0DDBCF17" w14:textId="77777777">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90" w:type="dxa"/>
              <w:left w:w="130" w:type="dxa"/>
              <w:bottom w:w="90" w:type="dxa"/>
              <w:right w:w="130" w:type="dxa"/>
            </w:tcMar>
            <w:vAlign w:val="center"/>
          </w:tcPr>
          <w:p w14:paraId="22D2EE65" w14:textId="77777777" w:rsidR="000E1F1B" w:rsidRDefault="00000000">
            <w:r>
              <w:rPr>
                <w:b/>
                <w:bCs/>
                <w:color w:val="222222"/>
                <w:sz w:val="20"/>
                <w:szCs w:val="20"/>
              </w:rPr>
              <w:t>Bâle IV / FRTB</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11063D9" w14:textId="77777777" w:rsidR="000E1F1B" w:rsidRDefault="00000000">
            <w:r>
              <w:rPr>
                <w:color w:val="222222"/>
                <w:sz w:val="20"/>
                <w:szCs w:val="20"/>
              </w:rPr>
              <w:t xml:space="preserve">Refonte du calcul des exigences en fonds propres pour le risque de marché. Remplacement de la </w:t>
            </w:r>
            <w:proofErr w:type="spellStart"/>
            <w:r>
              <w:rPr>
                <w:color w:val="222222"/>
                <w:sz w:val="20"/>
                <w:szCs w:val="20"/>
              </w:rPr>
              <w:t>VaR</w:t>
            </w:r>
            <w:proofErr w:type="spellEnd"/>
            <w:r>
              <w:rPr>
                <w:color w:val="222222"/>
                <w:sz w:val="20"/>
                <w:szCs w:val="20"/>
              </w:rPr>
              <w:t xml:space="preserve"> par 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CD3366D" w14:textId="77777777" w:rsidR="000E1F1B" w:rsidRDefault="00000000">
            <w:r>
              <w:rPr>
                <w:color w:val="222222"/>
                <w:sz w:val="20"/>
                <w:szCs w:val="20"/>
              </w:rPr>
              <w:t>Banques à activité de marché</w:t>
            </w:r>
          </w:p>
        </w:tc>
      </w:tr>
      <w:tr w:rsidR="000E1F1B" w14:paraId="584199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4A45084" w14:textId="77777777" w:rsidR="000E1F1B" w:rsidRDefault="00000000">
            <w:r>
              <w:rPr>
                <w:color w:val="222222"/>
                <w:sz w:val="20"/>
                <w:szCs w:val="20"/>
              </w:rPr>
              <w:t>IRRBB (Bâle)</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6EB1A367" w14:textId="77777777" w:rsidR="000E1F1B" w:rsidRDefault="00000000">
            <w:r>
              <w:rPr>
                <w:color w:val="222222"/>
                <w:sz w:val="20"/>
                <w:szCs w:val="20"/>
              </w:rPr>
              <w:t>Cadre de gestion du risque de taux dans le portefeuille bancaire. EVE + NII obligatoires.</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2FD6A340" w14:textId="77777777" w:rsidR="000E1F1B" w:rsidRDefault="00000000">
            <w:r>
              <w:rPr>
                <w:color w:val="222222"/>
                <w:sz w:val="20"/>
                <w:szCs w:val="20"/>
              </w:rPr>
              <w:t>Toutes les banques</w:t>
            </w:r>
          </w:p>
        </w:tc>
      </w:tr>
      <w:tr w:rsidR="000E1F1B" w14:paraId="3BCAE627" w14:textId="77777777">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90" w:type="dxa"/>
              <w:left w:w="130" w:type="dxa"/>
              <w:bottom w:w="90" w:type="dxa"/>
              <w:right w:w="130" w:type="dxa"/>
            </w:tcMar>
            <w:vAlign w:val="center"/>
          </w:tcPr>
          <w:p w14:paraId="67A6E560" w14:textId="77777777" w:rsidR="000E1F1B" w:rsidRDefault="00000000">
            <w:r>
              <w:rPr>
                <w:b/>
                <w:bCs/>
                <w:color w:val="222222"/>
                <w:sz w:val="20"/>
                <w:szCs w:val="20"/>
              </w:rPr>
              <w:t>BCEAO / COBAC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8BA6F5E" w14:textId="77777777" w:rsidR="000E1F1B" w:rsidRDefault="00000000">
            <w:r>
              <w:rPr>
                <w:color w:val="222222"/>
                <w:sz w:val="20"/>
                <w:szCs w:val="20"/>
              </w:rPr>
              <w:t>Ratios prudentiels régionaux, normes de solvabilité et de liquidité dans la zone UEMOA / CEMAC.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34F144E" w14:textId="77777777" w:rsidR="000E1F1B" w:rsidRDefault="00000000">
            <w:r>
              <w:rPr>
                <w:color w:val="222222"/>
                <w:sz w:val="20"/>
                <w:szCs w:val="20"/>
              </w:rPr>
              <w:t>Banques zone franc</w:t>
            </w:r>
          </w:p>
        </w:tc>
      </w:tr>
      <w:tr w:rsidR="000E1F1B" w14:paraId="6A5A02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1EC3CB5" w14:textId="77777777" w:rsidR="000E1F1B" w:rsidRDefault="00000000">
            <w:r>
              <w:rPr>
                <w:color w:val="222222"/>
                <w:sz w:val="20"/>
                <w:szCs w:val="20"/>
              </w:rPr>
              <w:t>IFRS 7</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0EE1E418" w14:textId="77777777" w:rsidR="000E1F1B" w:rsidRDefault="00000000">
            <w:r>
              <w:rPr>
                <w:color w:val="222222"/>
                <w:sz w:val="20"/>
                <w:szCs w:val="20"/>
              </w:rPr>
              <w:t>Informations à fournir sur les instruments financiers et les risques associés.</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0AF81569" w14:textId="77777777" w:rsidR="000E1F1B" w:rsidRDefault="00000000">
            <w:r>
              <w:rPr>
                <w:color w:val="222222"/>
                <w:sz w:val="20"/>
                <w:szCs w:val="20"/>
              </w:rPr>
              <w:t>Entités cotées / IFRS</w:t>
            </w:r>
          </w:p>
        </w:tc>
      </w:tr>
    </w:tbl>
    <w:p w14:paraId="1A1D2DE1" w14:textId="77777777" w:rsidR="000E1F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2E8796D5" w14:textId="77777777">
        <w:tc>
          <w:tcPr>
            <w:tcW w:w="9360" w:type="dxa"/>
            <w:tcBorders>
              <w:top w:val="none" w:sz="0" w:space="0" w:color="FFFFFF"/>
              <w:left w:val="none" w:sz="0" w:space="0" w:color="FFFFFF"/>
              <w:bottom w:val="none" w:sz="0" w:space="0" w:color="FFFFFF"/>
              <w:right w:val="none" w:sz="0" w:space="0" w:color="FFFFFF"/>
            </w:tcBorders>
            <w:shd w:val="clear" w:color="auto" w:fill="1D9E75"/>
            <w:tcMar>
              <w:top w:w="200" w:type="dxa"/>
              <w:left w:w="300" w:type="dxa"/>
              <w:bottom w:w="200" w:type="dxa"/>
              <w:right w:w="300" w:type="dxa"/>
            </w:tcMar>
          </w:tcPr>
          <w:p w14:paraId="6C75CF60" w14:textId="77777777" w:rsidR="000E1F1B" w:rsidRDefault="00000000">
            <w:r>
              <w:rPr>
                <w:color w:val="FFFFFF"/>
                <w:sz w:val="18"/>
                <w:szCs w:val="18"/>
              </w:rPr>
              <w:lastRenderedPageBreak/>
              <w:t>PÔLE 2</w:t>
            </w:r>
          </w:p>
          <w:p w14:paraId="7EA19061" w14:textId="77777777" w:rsidR="000E1F1B" w:rsidRDefault="00000000">
            <w:r>
              <w:rPr>
                <w:b/>
                <w:bCs/>
                <w:color w:val="FFFFFF"/>
                <w:sz w:val="40"/>
                <w:szCs w:val="40"/>
              </w:rPr>
              <w:t>Risque de crédit</w:t>
            </w:r>
          </w:p>
          <w:p w14:paraId="172CD8D8" w14:textId="77777777" w:rsidR="000E1F1B" w:rsidRDefault="00000000">
            <w:r>
              <w:rPr>
                <w:i/>
                <w:iCs/>
                <w:color w:val="FFFFFF"/>
                <w:sz w:val="22"/>
                <w:szCs w:val="22"/>
              </w:rPr>
              <w:t xml:space="preserve">Modélisation · </w:t>
            </w:r>
            <w:proofErr w:type="spellStart"/>
            <w:r>
              <w:rPr>
                <w:i/>
                <w:iCs/>
                <w:color w:val="FFFFFF"/>
                <w:sz w:val="22"/>
                <w:szCs w:val="22"/>
              </w:rPr>
              <w:t>Scoring</w:t>
            </w:r>
            <w:proofErr w:type="spellEnd"/>
            <w:r>
              <w:rPr>
                <w:i/>
                <w:iCs/>
                <w:color w:val="FFFFFF"/>
                <w:sz w:val="22"/>
                <w:szCs w:val="22"/>
              </w:rPr>
              <w:t xml:space="preserve"> · Conformité IFRS 9 &amp; Bâle</w:t>
            </w:r>
          </w:p>
        </w:tc>
      </w:tr>
    </w:tbl>
    <w:p w14:paraId="22B24458" w14:textId="77777777" w:rsidR="000E1F1B" w:rsidRDefault="000E1F1B"/>
    <w:p w14:paraId="2BF4AB14" w14:textId="77777777" w:rsidR="000E1F1B" w:rsidRDefault="00000000">
      <w:pPr>
        <w:pStyle w:val="Titre2"/>
      </w:pPr>
      <w:r>
        <w:t>Présentation générale</w:t>
      </w:r>
    </w:p>
    <w:p w14:paraId="6453E033" w14:textId="77777777" w:rsidR="000E1F1B" w:rsidRDefault="00000000">
      <w:pPr>
        <w:spacing w:before="60" w:after="60"/>
      </w:pPr>
      <w:r>
        <w:rPr>
          <w:color w:val="333333"/>
        </w:rPr>
        <w:t>Le risque de crédit est le risque qu'un emprunteur ne rembourse pas tout ou partie de sa dette. C'est historiquement le risque le plus important pour les banques africaines, dans un contexte de taux de créances douteuses (NPL) souvent élevés et de données insuffisantes sur les emprunteurs.</w:t>
      </w:r>
    </w:p>
    <w:p w14:paraId="00CCFEBD" w14:textId="77777777" w:rsidR="000E1F1B" w:rsidRDefault="00000000">
      <w:pPr>
        <w:spacing w:before="60" w:after="60"/>
      </w:pPr>
      <w:r>
        <w:rPr>
          <w:color w:val="333333"/>
        </w:rPr>
        <w:t>Nexus Alpha apporte une approche quantitative rigoureuse, calibrée sur les réalités des marchés locaux, pour aider les banques, institutions de microfinance et sociétés d'assurance-crédit à mieux mesurer, prévoir et gérer ce risque.</w:t>
      </w:r>
    </w:p>
    <w:p w14:paraId="535555F3" w14:textId="77777777" w:rsidR="000E1F1B" w:rsidRDefault="000E1F1B"/>
    <w:p w14:paraId="0BCF3B73" w14:textId="77777777" w:rsidR="000E1F1B" w:rsidRDefault="00000000">
      <w:pPr>
        <w:pStyle w:val="Titre2"/>
      </w:pPr>
      <w:r>
        <w:t>2.1 — Modèles PD / LGD / EAD (composantes du risque de crédit)</w:t>
      </w:r>
    </w:p>
    <w:p w14:paraId="2828667F" w14:textId="77777777" w:rsidR="000E1F1B" w:rsidRDefault="00000000">
      <w:pPr>
        <w:spacing w:before="180" w:after="60"/>
      </w:pPr>
      <w:r>
        <w:rPr>
          <w:b/>
          <w:bCs/>
          <w:color w:val="534AB7"/>
          <w:sz w:val="22"/>
          <w:szCs w:val="22"/>
        </w:rPr>
        <w:t>PD — Probabilité de Défaut</w:t>
      </w:r>
    </w:p>
    <w:p w14:paraId="30F0E70F" w14:textId="77777777" w:rsidR="000E1F1B" w:rsidRDefault="00000000">
      <w:pPr>
        <w:spacing w:before="60" w:after="60"/>
      </w:pPr>
      <w:r>
        <w:rPr>
          <w:color w:val="333333"/>
        </w:rPr>
        <w:t>La PD mesure la probabilité qu'un emprunteur fasse défaut sur une période donnée (généralement 1 an). Elle est le paramètre central de tous les systèmes de notation et de calcul des provisions.</w:t>
      </w:r>
    </w:p>
    <w:p w14:paraId="24DD0AE2" w14:textId="77777777" w:rsidR="000E1F1B" w:rsidRDefault="00000000">
      <w:pPr>
        <w:pStyle w:val="Paragraphedeliste"/>
        <w:numPr>
          <w:ilvl w:val="0"/>
          <w:numId w:val="2"/>
        </w:numPr>
        <w:spacing w:before="40" w:after="40"/>
      </w:pPr>
      <w:r>
        <w:rPr>
          <w:color w:val="333333"/>
        </w:rPr>
        <w:t>Modèles de régression logistique : estimation de la PD à partir de variables financières et comportementales</w:t>
      </w:r>
    </w:p>
    <w:p w14:paraId="4EF7512C" w14:textId="77777777" w:rsidR="000E1F1B" w:rsidRDefault="00000000">
      <w:pPr>
        <w:pStyle w:val="Paragraphedeliste"/>
        <w:numPr>
          <w:ilvl w:val="0"/>
          <w:numId w:val="2"/>
        </w:numPr>
        <w:spacing w:before="40" w:after="40"/>
      </w:pPr>
      <w:r>
        <w:rPr>
          <w:color w:val="333333"/>
        </w:rPr>
        <w:t>Modèles de survie (Cox, Kaplan-Meier) : modélisation de la durée avant défaut</w:t>
      </w:r>
    </w:p>
    <w:p w14:paraId="00F1F35C" w14:textId="77777777" w:rsidR="000E1F1B" w:rsidRDefault="00000000">
      <w:pPr>
        <w:pStyle w:val="Paragraphedeliste"/>
        <w:numPr>
          <w:ilvl w:val="0"/>
          <w:numId w:val="2"/>
        </w:numPr>
        <w:spacing w:before="40" w:after="40"/>
      </w:pPr>
      <w:r>
        <w:rPr>
          <w:color w:val="333333"/>
        </w:rPr>
        <w:t>Modèles de migration : matrices de transition entre classes de notation (de AAA à défaut)</w:t>
      </w:r>
    </w:p>
    <w:p w14:paraId="5D11B2E3" w14:textId="77777777" w:rsidR="000E1F1B" w:rsidRDefault="00000000">
      <w:pPr>
        <w:pStyle w:val="Paragraphedeliste"/>
        <w:numPr>
          <w:ilvl w:val="0"/>
          <w:numId w:val="2"/>
        </w:numPr>
        <w:spacing w:before="40" w:after="40"/>
      </w:pPr>
      <w:r>
        <w:rPr>
          <w:color w:val="333333"/>
        </w:rPr>
        <w:t>Calibration sur données locales : adaptation aux spécificités des marchés UEMOA/CEMAC</w:t>
      </w:r>
    </w:p>
    <w:p w14:paraId="0B089D97" w14:textId="77777777" w:rsidR="000E1F1B" w:rsidRDefault="00000000">
      <w:pPr>
        <w:pStyle w:val="Paragraphedeliste"/>
        <w:numPr>
          <w:ilvl w:val="0"/>
          <w:numId w:val="2"/>
        </w:numPr>
        <w:spacing w:before="40" w:after="40"/>
      </w:pPr>
      <w:r>
        <w:rPr>
          <w:color w:val="333333"/>
        </w:rPr>
        <w:t xml:space="preserve">Validation statistique : Gini, AUC-ROC, KS </w:t>
      </w:r>
      <w:proofErr w:type="spellStart"/>
      <w:r>
        <w:rPr>
          <w:color w:val="333333"/>
        </w:rPr>
        <w:t>statistic</w:t>
      </w:r>
      <w:proofErr w:type="spellEnd"/>
      <w:r>
        <w:rPr>
          <w:color w:val="333333"/>
        </w:rPr>
        <w:t>, tests de stabilité (PSI)</w:t>
      </w:r>
    </w:p>
    <w:p w14:paraId="649250BE" w14:textId="77777777" w:rsidR="000E1F1B" w:rsidRDefault="000E1F1B"/>
    <w:p w14:paraId="5C306D47" w14:textId="77777777" w:rsidR="000E1F1B" w:rsidRDefault="00000000">
      <w:pPr>
        <w:spacing w:before="180" w:after="60"/>
      </w:pPr>
      <w:r>
        <w:rPr>
          <w:b/>
          <w:bCs/>
          <w:color w:val="534AB7"/>
          <w:sz w:val="22"/>
          <w:szCs w:val="22"/>
        </w:rPr>
        <w:t>LGD — Perte en Cas de Défaut</w:t>
      </w:r>
    </w:p>
    <w:p w14:paraId="48DD17FB" w14:textId="77777777" w:rsidR="000E1F1B" w:rsidRDefault="00000000">
      <w:pPr>
        <w:spacing w:before="60" w:after="60"/>
      </w:pPr>
      <w:r>
        <w:rPr>
          <w:color w:val="333333"/>
        </w:rPr>
        <w:t>La LGD représente la fraction du montant exposé que la banque perd effectivement en cas de défaut, après récupération. Elle est très dépendante de la qualité des garanties et des procédures de recouvrement locales.</w:t>
      </w:r>
    </w:p>
    <w:p w14:paraId="64EDD432" w14:textId="77777777" w:rsidR="000E1F1B" w:rsidRDefault="00000000">
      <w:pPr>
        <w:pStyle w:val="Paragraphedeliste"/>
        <w:numPr>
          <w:ilvl w:val="0"/>
          <w:numId w:val="2"/>
        </w:numPr>
        <w:spacing w:before="40" w:after="40"/>
      </w:pPr>
      <w:r>
        <w:rPr>
          <w:color w:val="333333"/>
        </w:rPr>
        <w:t>Modèles de LGD basés sur les flux de recouvrement historiques</w:t>
      </w:r>
    </w:p>
    <w:p w14:paraId="12F25E1B" w14:textId="77777777" w:rsidR="000E1F1B" w:rsidRDefault="00000000">
      <w:pPr>
        <w:pStyle w:val="Paragraphedeliste"/>
        <w:numPr>
          <w:ilvl w:val="0"/>
          <w:numId w:val="2"/>
        </w:numPr>
        <w:spacing w:before="40" w:after="40"/>
      </w:pPr>
      <w:r>
        <w:rPr>
          <w:color w:val="333333"/>
        </w:rPr>
        <w:t>LGD par type de garantie : immobilier, nantissement, caution personnelle</w:t>
      </w:r>
    </w:p>
    <w:p w14:paraId="7710E069" w14:textId="77777777" w:rsidR="000E1F1B" w:rsidRDefault="00000000">
      <w:pPr>
        <w:pStyle w:val="Paragraphedeliste"/>
        <w:numPr>
          <w:ilvl w:val="0"/>
          <w:numId w:val="2"/>
        </w:numPr>
        <w:spacing w:before="40" w:after="40"/>
      </w:pPr>
      <w:r>
        <w:rPr>
          <w:color w:val="333333"/>
        </w:rPr>
        <w:t>LGD en période de stress (</w:t>
      </w:r>
      <w:proofErr w:type="spellStart"/>
      <w:r>
        <w:rPr>
          <w:color w:val="333333"/>
        </w:rPr>
        <w:t>Downturn</w:t>
      </w:r>
      <w:proofErr w:type="spellEnd"/>
      <w:r>
        <w:rPr>
          <w:color w:val="333333"/>
        </w:rPr>
        <w:t xml:space="preserve"> LGD) pour le calcul IRB avancé</w:t>
      </w:r>
    </w:p>
    <w:p w14:paraId="5D7E1B99" w14:textId="77777777" w:rsidR="000E1F1B" w:rsidRDefault="00000000">
      <w:pPr>
        <w:pStyle w:val="Paragraphedeliste"/>
        <w:numPr>
          <w:ilvl w:val="0"/>
          <w:numId w:val="2"/>
        </w:numPr>
        <w:spacing w:before="40" w:after="40"/>
      </w:pPr>
      <w:r>
        <w:rPr>
          <w:color w:val="333333"/>
        </w:rPr>
        <w:t xml:space="preserve">Segmentation par type de portefeuille : </w:t>
      </w:r>
      <w:proofErr w:type="spellStart"/>
      <w:r>
        <w:rPr>
          <w:color w:val="333333"/>
        </w:rPr>
        <w:t>retail</w:t>
      </w:r>
      <w:proofErr w:type="spellEnd"/>
      <w:r>
        <w:rPr>
          <w:color w:val="333333"/>
        </w:rPr>
        <w:t xml:space="preserve">, PME, </w:t>
      </w:r>
      <w:proofErr w:type="spellStart"/>
      <w:r>
        <w:rPr>
          <w:color w:val="333333"/>
        </w:rPr>
        <w:t>corporate</w:t>
      </w:r>
      <w:proofErr w:type="spellEnd"/>
      <w:r>
        <w:rPr>
          <w:color w:val="333333"/>
        </w:rPr>
        <w:t>, souverain</w:t>
      </w:r>
    </w:p>
    <w:p w14:paraId="49F5955F" w14:textId="77777777" w:rsidR="000E1F1B" w:rsidRDefault="000E1F1B"/>
    <w:p w14:paraId="6D7040B7" w14:textId="77777777" w:rsidR="000E1F1B" w:rsidRDefault="00000000">
      <w:pPr>
        <w:spacing w:before="180" w:after="60"/>
      </w:pPr>
      <w:r>
        <w:rPr>
          <w:b/>
          <w:bCs/>
          <w:color w:val="534AB7"/>
          <w:sz w:val="22"/>
          <w:szCs w:val="22"/>
        </w:rPr>
        <w:t>EAD — Exposition en Cas de Défaut</w:t>
      </w:r>
    </w:p>
    <w:p w14:paraId="066F9935" w14:textId="77777777" w:rsidR="000E1F1B" w:rsidRDefault="00000000">
      <w:pPr>
        <w:spacing w:before="60" w:after="60"/>
      </w:pPr>
      <w:r>
        <w:rPr>
          <w:color w:val="333333"/>
        </w:rPr>
        <w:t>L'EAD mesure le montant total exposé au moment du défaut, en incluant les expositions hors bilan (lignes de crédit non tirées, garanties données).</w:t>
      </w:r>
    </w:p>
    <w:p w14:paraId="025528F3" w14:textId="77777777" w:rsidR="000E1F1B" w:rsidRDefault="00000000">
      <w:pPr>
        <w:pStyle w:val="Paragraphedeliste"/>
        <w:numPr>
          <w:ilvl w:val="0"/>
          <w:numId w:val="2"/>
        </w:numPr>
        <w:spacing w:before="40" w:after="40"/>
      </w:pPr>
      <w:r>
        <w:rPr>
          <w:color w:val="333333"/>
        </w:rPr>
        <w:t>Facteur de conversion du crédit (CCF) pour les engagements hors bilan</w:t>
      </w:r>
    </w:p>
    <w:p w14:paraId="1810A994" w14:textId="77777777" w:rsidR="000E1F1B" w:rsidRDefault="00000000">
      <w:pPr>
        <w:pStyle w:val="Paragraphedeliste"/>
        <w:numPr>
          <w:ilvl w:val="0"/>
          <w:numId w:val="2"/>
        </w:numPr>
        <w:spacing w:before="40" w:after="40"/>
      </w:pPr>
      <w:r>
        <w:rPr>
          <w:color w:val="333333"/>
        </w:rPr>
        <w:t>Modélisation du tirage additionnel avant défaut</w:t>
      </w:r>
    </w:p>
    <w:p w14:paraId="52464831" w14:textId="77777777" w:rsidR="000E1F1B" w:rsidRDefault="00000000">
      <w:pPr>
        <w:pStyle w:val="Paragraphedeliste"/>
        <w:numPr>
          <w:ilvl w:val="0"/>
          <w:numId w:val="2"/>
        </w:numPr>
        <w:spacing w:before="40" w:after="40"/>
      </w:pPr>
      <w:r>
        <w:rPr>
          <w:color w:val="333333"/>
        </w:rPr>
        <w:t>Calcul de l'EAD pour les produits de marché (dérivés, repo) via SA-CCR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1D1CC0A7" w14:textId="77777777">
        <w:tc>
          <w:tcPr>
            <w:tcW w:w="9360" w:type="dxa"/>
            <w:tcBorders>
              <w:top w:val="single" w:sz="4" w:space="0" w:color="1D9E75"/>
              <w:left w:val="single" w:sz="12" w:space="0" w:color="1D9E75"/>
              <w:bottom w:val="none" w:sz="0" w:space="0" w:color="FFFFFF"/>
              <w:right w:val="none" w:sz="0" w:space="0" w:color="FFFFFF"/>
            </w:tcBorders>
            <w:shd w:val="clear" w:color="auto" w:fill="E1F5EE"/>
            <w:tcMar>
              <w:top w:w="120" w:type="dxa"/>
              <w:left w:w="200" w:type="dxa"/>
              <w:bottom w:w="120" w:type="dxa"/>
              <w:right w:w="200" w:type="dxa"/>
            </w:tcMar>
          </w:tcPr>
          <w:p w14:paraId="6D4C5DD5" w14:textId="77777777" w:rsidR="000E1F1B" w:rsidRDefault="00000000">
            <w:pPr>
              <w:spacing w:after="60"/>
            </w:pPr>
            <w:r>
              <w:rPr>
                <w:b/>
                <w:bCs/>
                <w:color w:val="3C3489"/>
                <w:sz w:val="20"/>
                <w:szCs w:val="20"/>
              </w:rPr>
              <w:t>Livrables — Modèles PD / LGD / EAD</w:t>
            </w:r>
          </w:p>
          <w:p w14:paraId="25B8B302" w14:textId="77777777" w:rsidR="000E1F1B" w:rsidRDefault="00000000">
            <w:pPr>
              <w:spacing w:before="20" w:after="20"/>
            </w:pPr>
            <w:r>
              <w:rPr>
                <w:color w:val="444444"/>
                <w:sz w:val="19"/>
                <w:szCs w:val="19"/>
              </w:rPr>
              <w:t>• Modèles statistiques documentés et validés (Python / R)</w:t>
            </w:r>
          </w:p>
          <w:p w14:paraId="39B82CAB" w14:textId="77777777" w:rsidR="000E1F1B" w:rsidRDefault="00000000">
            <w:pPr>
              <w:spacing w:before="20" w:after="20"/>
            </w:pPr>
            <w:r>
              <w:rPr>
                <w:color w:val="444444"/>
                <w:sz w:val="19"/>
                <w:szCs w:val="19"/>
              </w:rPr>
              <w:t>• Rapport de performance des modèles (Gini, AUC, KS, PSI)</w:t>
            </w:r>
          </w:p>
          <w:p w14:paraId="699666E6" w14:textId="77777777" w:rsidR="000E1F1B" w:rsidRDefault="00000000">
            <w:pPr>
              <w:spacing w:before="20" w:after="20"/>
            </w:pPr>
            <w:r>
              <w:rPr>
                <w:color w:val="444444"/>
                <w:sz w:val="19"/>
                <w:szCs w:val="19"/>
              </w:rPr>
              <w:t>• Matrices de transition et courbes de survie par segment</w:t>
            </w:r>
          </w:p>
          <w:p w14:paraId="49F66A09" w14:textId="77777777" w:rsidR="000E1F1B" w:rsidRDefault="00000000">
            <w:pPr>
              <w:spacing w:before="20" w:after="20"/>
            </w:pPr>
            <w:r>
              <w:rPr>
                <w:color w:val="444444"/>
                <w:sz w:val="19"/>
                <w:szCs w:val="19"/>
              </w:rPr>
              <w:t>• Documentation IRB conforme Bâle IV pour soumission au régulateur</w:t>
            </w:r>
          </w:p>
          <w:p w14:paraId="0D4EA501" w14:textId="77777777" w:rsidR="000E1F1B" w:rsidRDefault="00000000">
            <w:pPr>
              <w:spacing w:before="20" w:after="20"/>
            </w:pPr>
            <w:r>
              <w:rPr>
                <w:color w:val="444444"/>
                <w:sz w:val="19"/>
                <w:szCs w:val="19"/>
              </w:rPr>
              <w:t>• Plan de recalibration annuelle des paramètres</w:t>
            </w:r>
          </w:p>
        </w:tc>
      </w:tr>
    </w:tbl>
    <w:p w14:paraId="73177D5D" w14:textId="77777777" w:rsidR="000E1F1B" w:rsidRDefault="000E1F1B"/>
    <w:p w14:paraId="6731498D" w14:textId="77777777" w:rsidR="000E1F1B" w:rsidRDefault="00000000">
      <w:pPr>
        <w:pStyle w:val="Titre2"/>
      </w:pPr>
      <w:r>
        <w:lastRenderedPageBreak/>
        <w:t xml:space="preserve">2.2 — Systèmes de </w:t>
      </w:r>
      <w:proofErr w:type="spellStart"/>
      <w:r>
        <w:t>scoring</w:t>
      </w:r>
      <w:proofErr w:type="spellEnd"/>
      <w:r>
        <w:t xml:space="preserve"> &amp; notation interne</w:t>
      </w:r>
    </w:p>
    <w:p w14:paraId="68DF8E4C" w14:textId="77777777" w:rsidR="000E1F1B" w:rsidRDefault="00000000">
      <w:pPr>
        <w:spacing w:before="60" w:after="60"/>
      </w:pPr>
      <w:r>
        <w:rPr>
          <w:color w:val="333333"/>
        </w:rPr>
        <w:t xml:space="preserve">Un système de </w:t>
      </w:r>
      <w:proofErr w:type="spellStart"/>
      <w:r>
        <w:rPr>
          <w:color w:val="333333"/>
        </w:rPr>
        <w:t>scoring</w:t>
      </w:r>
      <w:proofErr w:type="spellEnd"/>
      <w:r>
        <w:rPr>
          <w:color w:val="333333"/>
        </w:rPr>
        <w:t xml:space="preserve"> attribue une note ou un score à chaque emprunteur, reflétant son niveau de risque de crédit. Nexus Alpha développe des </w:t>
      </w:r>
      <w:proofErr w:type="spellStart"/>
      <w:r>
        <w:rPr>
          <w:color w:val="333333"/>
        </w:rPr>
        <w:t>scorecards</w:t>
      </w:r>
      <w:proofErr w:type="spellEnd"/>
      <w:r>
        <w:rPr>
          <w:color w:val="333333"/>
        </w:rPr>
        <w:t xml:space="preserve"> sur mesure, adaptées aux données disponibles et aux pratiques locales.</w:t>
      </w:r>
    </w:p>
    <w:p w14:paraId="6362DEE9" w14:textId="77777777" w:rsidR="000E1F1B" w:rsidRDefault="00000000">
      <w:pPr>
        <w:spacing w:before="180" w:after="60"/>
      </w:pPr>
      <w:proofErr w:type="spellStart"/>
      <w:r>
        <w:rPr>
          <w:b/>
          <w:bCs/>
          <w:color w:val="534AB7"/>
          <w:sz w:val="22"/>
          <w:szCs w:val="22"/>
        </w:rPr>
        <w:t>Scoring</w:t>
      </w:r>
      <w:proofErr w:type="spellEnd"/>
      <w:r>
        <w:rPr>
          <w:b/>
          <w:bCs/>
          <w:color w:val="534AB7"/>
          <w:sz w:val="22"/>
          <w:szCs w:val="22"/>
        </w:rPr>
        <w:t xml:space="preserve"> d'octroi (Application </w:t>
      </w:r>
      <w:proofErr w:type="spellStart"/>
      <w:r>
        <w:rPr>
          <w:b/>
          <w:bCs/>
          <w:color w:val="534AB7"/>
          <w:sz w:val="22"/>
          <w:szCs w:val="22"/>
        </w:rPr>
        <w:t>Scoring</w:t>
      </w:r>
      <w:proofErr w:type="spellEnd"/>
      <w:r>
        <w:rPr>
          <w:b/>
          <w:bCs/>
          <w:color w:val="534AB7"/>
          <w:sz w:val="22"/>
          <w:szCs w:val="22"/>
        </w:rPr>
        <w:t>)</w:t>
      </w:r>
    </w:p>
    <w:p w14:paraId="630E80A9" w14:textId="77777777" w:rsidR="000E1F1B" w:rsidRDefault="00000000">
      <w:pPr>
        <w:pStyle w:val="Paragraphedeliste"/>
        <w:numPr>
          <w:ilvl w:val="0"/>
          <w:numId w:val="2"/>
        </w:numPr>
        <w:spacing w:before="40" w:after="40"/>
      </w:pPr>
      <w:r>
        <w:rPr>
          <w:color w:val="333333"/>
        </w:rPr>
        <w:t>Modèle de décision à l'entrée en relation : accepter, refuser, ou demander des garanties supplémentaires</w:t>
      </w:r>
    </w:p>
    <w:p w14:paraId="3E6AC270" w14:textId="77777777" w:rsidR="000E1F1B" w:rsidRDefault="00000000">
      <w:pPr>
        <w:pStyle w:val="Paragraphedeliste"/>
        <w:numPr>
          <w:ilvl w:val="0"/>
          <w:numId w:val="2"/>
        </w:numPr>
        <w:spacing w:before="40" w:after="40"/>
      </w:pPr>
      <w:r>
        <w:rPr>
          <w:color w:val="333333"/>
        </w:rPr>
        <w:t>Variables utilisées : données financières (ratios de solvabilité, liquidité), données comportementales (historique de paiement), données qualitatives (secteur, ancienneté)</w:t>
      </w:r>
    </w:p>
    <w:p w14:paraId="20B223DF" w14:textId="77777777" w:rsidR="000E1F1B" w:rsidRDefault="00000000">
      <w:pPr>
        <w:pStyle w:val="Paragraphedeliste"/>
        <w:numPr>
          <w:ilvl w:val="0"/>
          <w:numId w:val="2"/>
        </w:numPr>
        <w:spacing w:before="40" w:after="40"/>
      </w:pPr>
      <w:r>
        <w:rPr>
          <w:color w:val="333333"/>
        </w:rPr>
        <w:t xml:space="preserve">Développement par régression logistique, arbres de décision, gradient </w:t>
      </w:r>
      <w:proofErr w:type="spellStart"/>
      <w:r>
        <w:rPr>
          <w:color w:val="333333"/>
        </w:rPr>
        <w:t>boosting</w:t>
      </w:r>
      <w:proofErr w:type="spellEnd"/>
      <w:r>
        <w:rPr>
          <w:color w:val="333333"/>
        </w:rPr>
        <w:t xml:space="preserve"> (</w:t>
      </w:r>
      <w:proofErr w:type="spellStart"/>
      <w:r>
        <w:rPr>
          <w:color w:val="333333"/>
        </w:rPr>
        <w:t>XGBoost</w:t>
      </w:r>
      <w:proofErr w:type="spellEnd"/>
      <w:r>
        <w:rPr>
          <w:color w:val="333333"/>
        </w:rPr>
        <w:t>)</w:t>
      </w:r>
    </w:p>
    <w:p w14:paraId="6D16EC0A" w14:textId="77777777" w:rsidR="000E1F1B" w:rsidRDefault="00000000">
      <w:pPr>
        <w:pStyle w:val="Paragraphedeliste"/>
        <w:numPr>
          <w:ilvl w:val="0"/>
          <w:numId w:val="2"/>
        </w:numPr>
        <w:spacing w:before="40" w:after="40"/>
      </w:pPr>
      <w:r>
        <w:rPr>
          <w:color w:val="333333"/>
        </w:rPr>
        <w:t>Définition du seuil de coupure optimal (</w:t>
      </w:r>
      <w:proofErr w:type="spellStart"/>
      <w:r>
        <w:rPr>
          <w:color w:val="333333"/>
        </w:rPr>
        <w:t>cut</w:t>
      </w:r>
      <w:proofErr w:type="spellEnd"/>
      <w:r>
        <w:rPr>
          <w:color w:val="333333"/>
        </w:rPr>
        <w:t>-off) selon l'appétit au risque</w:t>
      </w:r>
    </w:p>
    <w:p w14:paraId="236A2728" w14:textId="77777777" w:rsidR="000E1F1B" w:rsidRDefault="00000000">
      <w:pPr>
        <w:spacing w:before="180" w:after="60"/>
      </w:pPr>
      <w:proofErr w:type="spellStart"/>
      <w:r>
        <w:rPr>
          <w:b/>
          <w:bCs/>
          <w:color w:val="534AB7"/>
          <w:sz w:val="22"/>
          <w:szCs w:val="22"/>
        </w:rPr>
        <w:t>Scoring</w:t>
      </w:r>
      <w:proofErr w:type="spellEnd"/>
      <w:r>
        <w:rPr>
          <w:b/>
          <w:bCs/>
          <w:color w:val="534AB7"/>
          <w:sz w:val="22"/>
          <w:szCs w:val="22"/>
        </w:rPr>
        <w:t xml:space="preserve"> comportemental (</w:t>
      </w:r>
      <w:proofErr w:type="spellStart"/>
      <w:r>
        <w:rPr>
          <w:b/>
          <w:bCs/>
          <w:color w:val="534AB7"/>
          <w:sz w:val="22"/>
          <w:szCs w:val="22"/>
        </w:rPr>
        <w:t>Behavioural</w:t>
      </w:r>
      <w:proofErr w:type="spellEnd"/>
      <w:r>
        <w:rPr>
          <w:b/>
          <w:bCs/>
          <w:color w:val="534AB7"/>
          <w:sz w:val="22"/>
          <w:szCs w:val="22"/>
        </w:rPr>
        <w:t xml:space="preserve"> </w:t>
      </w:r>
      <w:proofErr w:type="spellStart"/>
      <w:r>
        <w:rPr>
          <w:b/>
          <w:bCs/>
          <w:color w:val="534AB7"/>
          <w:sz w:val="22"/>
          <w:szCs w:val="22"/>
        </w:rPr>
        <w:t>Scoring</w:t>
      </w:r>
      <w:proofErr w:type="spellEnd"/>
      <w:r>
        <w:rPr>
          <w:b/>
          <w:bCs/>
          <w:color w:val="534AB7"/>
          <w:sz w:val="22"/>
          <w:szCs w:val="22"/>
        </w:rPr>
        <w:t>)</w:t>
      </w:r>
    </w:p>
    <w:p w14:paraId="3A6CF62F" w14:textId="77777777" w:rsidR="000E1F1B" w:rsidRDefault="00000000">
      <w:pPr>
        <w:pStyle w:val="Paragraphedeliste"/>
        <w:numPr>
          <w:ilvl w:val="0"/>
          <w:numId w:val="2"/>
        </w:numPr>
        <w:spacing w:before="40" w:after="40"/>
      </w:pPr>
      <w:r>
        <w:rPr>
          <w:color w:val="333333"/>
        </w:rPr>
        <w:t>Réévaluation continue du profil de risque des clients existants</w:t>
      </w:r>
    </w:p>
    <w:p w14:paraId="012D3BF3" w14:textId="77777777" w:rsidR="000E1F1B" w:rsidRDefault="00000000">
      <w:pPr>
        <w:pStyle w:val="Paragraphedeliste"/>
        <w:numPr>
          <w:ilvl w:val="0"/>
          <w:numId w:val="2"/>
        </w:numPr>
        <w:spacing w:before="40" w:after="40"/>
      </w:pPr>
      <w:r>
        <w:rPr>
          <w:color w:val="333333"/>
        </w:rPr>
        <w:t>Signaux d'alerte précoce : retards de paiement, utilisation excessive des lignes de crédit</w:t>
      </w:r>
    </w:p>
    <w:p w14:paraId="3F6188B5" w14:textId="77777777" w:rsidR="000E1F1B" w:rsidRDefault="00000000">
      <w:pPr>
        <w:pStyle w:val="Paragraphedeliste"/>
        <w:numPr>
          <w:ilvl w:val="0"/>
          <w:numId w:val="2"/>
        </w:numPr>
        <w:spacing w:before="40" w:after="40"/>
      </w:pPr>
      <w:r>
        <w:rPr>
          <w:color w:val="333333"/>
        </w:rPr>
        <w:t>Actualisation mensuelle ou trimestrielle du score</w:t>
      </w:r>
    </w:p>
    <w:p w14:paraId="1BC660C6" w14:textId="77777777" w:rsidR="000E1F1B" w:rsidRDefault="00000000">
      <w:pPr>
        <w:spacing w:before="180" w:after="60"/>
      </w:pPr>
      <w:proofErr w:type="spellStart"/>
      <w:r>
        <w:rPr>
          <w:b/>
          <w:bCs/>
          <w:color w:val="534AB7"/>
          <w:sz w:val="22"/>
          <w:szCs w:val="22"/>
        </w:rPr>
        <w:t>Scoring</w:t>
      </w:r>
      <w:proofErr w:type="spellEnd"/>
      <w:r>
        <w:rPr>
          <w:b/>
          <w:bCs/>
          <w:color w:val="534AB7"/>
          <w:sz w:val="22"/>
          <w:szCs w:val="22"/>
        </w:rPr>
        <w:t xml:space="preserve"> de recouvrement (Collection </w:t>
      </w:r>
      <w:proofErr w:type="spellStart"/>
      <w:r>
        <w:rPr>
          <w:b/>
          <w:bCs/>
          <w:color w:val="534AB7"/>
          <w:sz w:val="22"/>
          <w:szCs w:val="22"/>
        </w:rPr>
        <w:t>Scoring</w:t>
      </w:r>
      <w:proofErr w:type="spellEnd"/>
      <w:r>
        <w:rPr>
          <w:b/>
          <w:bCs/>
          <w:color w:val="534AB7"/>
          <w:sz w:val="22"/>
          <w:szCs w:val="22"/>
        </w:rPr>
        <w:t>)</w:t>
      </w:r>
    </w:p>
    <w:p w14:paraId="247B42C7" w14:textId="77777777" w:rsidR="000E1F1B" w:rsidRDefault="00000000">
      <w:pPr>
        <w:pStyle w:val="Paragraphedeliste"/>
        <w:numPr>
          <w:ilvl w:val="0"/>
          <w:numId w:val="2"/>
        </w:numPr>
        <w:spacing w:before="40" w:after="40"/>
      </w:pPr>
      <w:r>
        <w:rPr>
          <w:color w:val="333333"/>
        </w:rPr>
        <w:t>Priorisation des actions de recouvrement selon la probabilité de récupération</w:t>
      </w:r>
    </w:p>
    <w:p w14:paraId="27BDA4A3" w14:textId="77777777" w:rsidR="000E1F1B" w:rsidRDefault="00000000">
      <w:pPr>
        <w:pStyle w:val="Paragraphedeliste"/>
        <w:numPr>
          <w:ilvl w:val="0"/>
          <w:numId w:val="2"/>
        </w:numPr>
        <w:spacing w:before="40" w:after="40"/>
      </w:pPr>
      <w:r>
        <w:rPr>
          <w:color w:val="333333"/>
        </w:rPr>
        <w:t>Segmentation des clients en défaut : récupérable, partiellement récupérable, perte totale</w:t>
      </w:r>
    </w:p>
    <w:p w14:paraId="3161BA9C" w14:textId="77777777" w:rsidR="000E1F1B" w:rsidRDefault="00000000">
      <w:pPr>
        <w:pStyle w:val="Paragraphedeliste"/>
        <w:numPr>
          <w:ilvl w:val="0"/>
          <w:numId w:val="2"/>
        </w:numPr>
        <w:spacing w:before="40" w:after="40"/>
      </w:pPr>
      <w:r>
        <w:rPr>
          <w:color w:val="333333"/>
        </w:rPr>
        <w:t>Optimisation des ressources de recouvrement</w:t>
      </w:r>
    </w:p>
    <w:p w14:paraId="0D40D1C2" w14:textId="77777777" w:rsidR="000E1F1B" w:rsidRDefault="00000000">
      <w:pPr>
        <w:spacing w:before="180" w:after="60"/>
      </w:pPr>
      <w:r>
        <w:rPr>
          <w:b/>
          <w:bCs/>
          <w:color w:val="534AB7"/>
          <w:sz w:val="22"/>
          <w:szCs w:val="22"/>
        </w:rPr>
        <w:t xml:space="preserve">Notation interne </w:t>
      </w:r>
      <w:proofErr w:type="spellStart"/>
      <w:r>
        <w:rPr>
          <w:b/>
          <w:bCs/>
          <w:color w:val="534AB7"/>
          <w:sz w:val="22"/>
          <w:szCs w:val="22"/>
        </w:rPr>
        <w:t>corporate</w:t>
      </w:r>
      <w:proofErr w:type="spellEnd"/>
      <w:r>
        <w:rPr>
          <w:b/>
          <w:bCs/>
          <w:color w:val="534AB7"/>
          <w:sz w:val="22"/>
          <w:szCs w:val="22"/>
        </w:rPr>
        <w:t xml:space="preserve"> (</w:t>
      </w:r>
      <w:proofErr w:type="spellStart"/>
      <w:r>
        <w:rPr>
          <w:b/>
          <w:bCs/>
          <w:color w:val="534AB7"/>
          <w:sz w:val="22"/>
          <w:szCs w:val="22"/>
        </w:rPr>
        <w:t>Internal</w:t>
      </w:r>
      <w:proofErr w:type="spellEnd"/>
      <w:r>
        <w:rPr>
          <w:b/>
          <w:bCs/>
          <w:color w:val="534AB7"/>
          <w:sz w:val="22"/>
          <w:szCs w:val="22"/>
        </w:rPr>
        <w:t xml:space="preserve"> Rating)</w:t>
      </w:r>
    </w:p>
    <w:p w14:paraId="0ABBC636" w14:textId="77777777" w:rsidR="000E1F1B" w:rsidRDefault="00000000">
      <w:pPr>
        <w:pStyle w:val="Paragraphedeliste"/>
        <w:numPr>
          <w:ilvl w:val="0"/>
          <w:numId w:val="2"/>
        </w:numPr>
        <w:spacing w:before="40" w:after="40"/>
      </w:pPr>
      <w:r>
        <w:rPr>
          <w:color w:val="333333"/>
        </w:rPr>
        <w:t>Grille de notation pour les grandes entreprises et PME : de AAA (risque minimal) à D (défaut)</w:t>
      </w:r>
    </w:p>
    <w:p w14:paraId="60AFCB13" w14:textId="77777777" w:rsidR="000E1F1B" w:rsidRDefault="00000000">
      <w:pPr>
        <w:pStyle w:val="Paragraphedeliste"/>
        <w:numPr>
          <w:ilvl w:val="0"/>
          <w:numId w:val="2"/>
        </w:numPr>
        <w:spacing w:before="40" w:after="40"/>
      </w:pPr>
      <w:r>
        <w:rPr>
          <w:color w:val="333333"/>
        </w:rPr>
        <w:t>Combinaison de scores quantitatifs (analyse financière) et qualitatifs (secteur, management)</w:t>
      </w:r>
    </w:p>
    <w:p w14:paraId="530E805A" w14:textId="77777777" w:rsidR="000E1F1B" w:rsidRDefault="00000000">
      <w:pPr>
        <w:pStyle w:val="Paragraphedeliste"/>
        <w:numPr>
          <w:ilvl w:val="0"/>
          <w:numId w:val="2"/>
        </w:numPr>
        <w:spacing w:before="40" w:after="40"/>
      </w:pPr>
      <w:r>
        <w:rPr>
          <w:color w:val="333333"/>
        </w:rPr>
        <w:t>Mapping vers les probabilités de défaut pour le calcul des fonds propres réglementaires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60"/>
        <w:gridCol w:w="2500"/>
        <w:gridCol w:w="2500"/>
      </w:tblGrid>
      <w:tr w:rsidR="000E1F1B" w14:paraId="104BC0A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vAlign w:val="center"/>
          </w:tcPr>
          <w:p w14:paraId="6E5EDE79" w14:textId="77777777" w:rsidR="000E1F1B" w:rsidRDefault="00000000">
            <w:r>
              <w:rPr>
                <w:b/>
                <w:bCs/>
                <w:color w:val="FFFFFF"/>
                <w:sz w:val="20"/>
                <w:szCs w:val="20"/>
              </w:rPr>
              <w:t xml:space="preserve">Type de </w:t>
            </w:r>
            <w:proofErr w:type="spellStart"/>
            <w:r>
              <w:rPr>
                <w:b/>
                <w:bCs/>
                <w:color w:val="FFFFFF"/>
                <w:sz w:val="20"/>
                <w:szCs w:val="20"/>
              </w:rPr>
              <w:t>scoring</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vAlign w:val="center"/>
          </w:tcPr>
          <w:p w14:paraId="4889C9BC" w14:textId="77777777" w:rsidR="000E1F1B" w:rsidRDefault="00000000">
            <w:r>
              <w:rPr>
                <w:b/>
                <w:bCs/>
                <w:color w:val="FFFFFF"/>
                <w:sz w:val="20"/>
                <w:szCs w:val="20"/>
              </w:rPr>
              <w:t>Cible principale</w:t>
            </w:r>
          </w:p>
        </w:tc>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vAlign w:val="center"/>
          </w:tcPr>
          <w:p w14:paraId="690CFBD9" w14:textId="77777777" w:rsidR="000E1F1B" w:rsidRDefault="00000000">
            <w:r>
              <w:rPr>
                <w:b/>
                <w:bCs/>
                <w:color w:val="FFFFFF"/>
                <w:sz w:val="20"/>
                <w:szCs w:val="20"/>
              </w:rPr>
              <w:t>Données clés</w:t>
            </w:r>
          </w:p>
        </w:tc>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vAlign w:val="center"/>
          </w:tcPr>
          <w:p w14:paraId="3226A9C5" w14:textId="77777777" w:rsidR="000E1F1B" w:rsidRDefault="00000000">
            <w:r>
              <w:rPr>
                <w:b/>
                <w:bCs/>
                <w:color w:val="FFFFFF"/>
                <w:sz w:val="20"/>
                <w:szCs w:val="20"/>
              </w:rPr>
              <w:t>Output</w:t>
            </w:r>
          </w:p>
        </w:tc>
      </w:tr>
      <w:tr w:rsidR="000E1F1B" w14:paraId="5A74180A" w14:textId="77777777">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452AE1EB" w14:textId="77777777" w:rsidR="000E1F1B" w:rsidRDefault="00000000">
            <w:r>
              <w:rPr>
                <w:b/>
                <w:bCs/>
                <w:color w:val="222222"/>
                <w:sz w:val="20"/>
                <w:szCs w:val="20"/>
              </w:rPr>
              <w:t>Octroi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929DC00" w14:textId="77777777" w:rsidR="000E1F1B" w:rsidRDefault="00000000">
            <w:r>
              <w:rPr>
                <w:color w:val="222222"/>
                <w:sz w:val="20"/>
                <w:szCs w:val="20"/>
              </w:rPr>
              <w:t>Nouveaux clients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5E9A77D" w14:textId="77777777" w:rsidR="000E1F1B" w:rsidRDefault="00000000">
            <w:r>
              <w:rPr>
                <w:color w:val="222222"/>
                <w:sz w:val="20"/>
                <w:szCs w:val="20"/>
              </w:rPr>
              <w:t>KYC, bilans, revenus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FCB6F28" w14:textId="77777777" w:rsidR="000E1F1B" w:rsidRDefault="00000000">
            <w:r>
              <w:rPr>
                <w:color w:val="222222"/>
                <w:sz w:val="20"/>
                <w:szCs w:val="20"/>
              </w:rPr>
              <w:t>Décision binaire + score</w:t>
            </w:r>
          </w:p>
        </w:tc>
      </w:tr>
      <w:tr w:rsidR="000E1F1B" w14:paraId="0D44721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2CB0E8D" w14:textId="77777777" w:rsidR="000E1F1B" w:rsidRDefault="00000000">
            <w:r>
              <w:rPr>
                <w:color w:val="222222"/>
                <w:sz w:val="20"/>
                <w:szCs w:val="20"/>
              </w:rPr>
              <w:t>Comportemental</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32FA05AC" w14:textId="77777777" w:rsidR="000E1F1B" w:rsidRDefault="00000000">
            <w:r>
              <w:rPr>
                <w:color w:val="222222"/>
                <w:sz w:val="20"/>
                <w:szCs w:val="20"/>
              </w:rPr>
              <w:t>Clients existants</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3CB87824" w14:textId="77777777" w:rsidR="000E1F1B" w:rsidRDefault="00000000">
            <w:r>
              <w:rPr>
                <w:color w:val="222222"/>
                <w:sz w:val="20"/>
                <w:szCs w:val="20"/>
              </w:rPr>
              <w:t>Historique paiements</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0BE5E30F" w14:textId="77777777" w:rsidR="000E1F1B" w:rsidRDefault="00000000">
            <w:r>
              <w:rPr>
                <w:color w:val="222222"/>
                <w:sz w:val="20"/>
                <w:szCs w:val="20"/>
              </w:rPr>
              <w:t>Score mis à jour</w:t>
            </w:r>
          </w:p>
        </w:tc>
      </w:tr>
      <w:tr w:rsidR="000E1F1B" w14:paraId="631C8E37" w14:textId="77777777">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15D9CCAD" w14:textId="77777777" w:rsidR="000E1F1B" w:rsidRDefault="00000000">
            <w:r>
              <w:rPr>
                <w:b/>
                <w:bCs/>
                <w:color w:val="222222"/>
                <w:sz w:val="20"/>
                <w:szCs w:val="20"/>
              </w:rPr>
              <w:t>Recouvrement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F8DC709" w14:textId="77777777" w:rsidR="000E1F1B" w:rsidRDefault="00000000">
            <w:r>
              <w:rPr>
                <w:color w:val="222222"/>
                <w:sz w:val="20"/>
                <w:szCs w:val="20"/>
              </w:rPr>
              <w:t>Clients en défaut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D199B54" w14:textId="77777777" w:rsidR="000E1F1B" w:rsidRDefault="00000000">
            <w:r>
              <w:rPr>
                <w:color w:val="222222"/>
                <w:sz w:val="20"/>
                <w:szCs w:val="20"/>
              </w:rPr>
              <w:t>Ancienneté, garanties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A68D768" w14:textId="77777777" w:rsidR="000E1F1B" w:rsidRDefault="00000000">
            <w:r>
              <w:rPr>
                <w:color w:val="222222"/>
                <w:sz w:val="20"/>
                <w:szCs w:val="20"/>
              </w:rPr>
              <w:t>Probabilité récup.</w:t>
            </w:r>
          </w:p>
        </w:tc>
      </w:tr>
      <w:tr w:rsidR="000E1F1B" w14:paraId="3ED399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88C13A" w14:textId="77777777" w:rsidR="000E1F1B" w:rsidRDefault="00000000">
            <w:r>
              <w:rPr>
                <w:color w:val="222222"/>
                <w:sz w:val="20"/>
                <w:szCs w:val="20"/>
              </w:rPr>
              <w:t xml:space="preserve">Notation </w:t>
            </w:r>
            <w:proofErr w:type="spellStart"/>
            <w:r>
              <w:rPr>
                <w:color w:val="222222"/>
                <w:sz w:val="20"/>
                <w:szCs w:val="20"/>
              </w:rPr>
              <w:t>corporate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6E69A177" w14:textId="77777777" w:rsidR="000E1F1B" w:rsidRDefault="00000000">
            <w:r>
              <w:rPr>
                <w:color w:val="222222"/>
                <w:sz w:val="20"/>
                <w:szCs w:val="20"/>
              </w:rPr>
              <w:t>PME / Grandes entités</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65643270" w14:textId="77777777" w:rsidR="000E1F1B" w:rsidRDefault="00000000">
            <w:r>
              <w:rPr>
                <w:color w:val="222222"/>
                <w:sz w:val="20"/>
                <w:szCs w:val="20"/>
              </w:rPr>
              <w:t>Etats financiers audités</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4FEFD538" w14:textId="77777777" w:rsidR="000E1F1B" w:rsidRDefault="00000000">
            <w:r>
              <w:rPr>
                <w:color w:val="222222"/>
                <w:sz w:val="20"/>
                <w:szCs w:val="20"/>
              </w:rPr>
              <w:t>Note AAA à D</w:t>
            </w:r>
          </w:p>
        </w:tc>
      </w:tr>
    </w:tbl>
    <w:p w14:paraId="56BCC930" w14:textId="77777777" w:rsidR="000E1F1B" w:rsidRDefault="000E1F1B"/>
    <w:p w14:paraId="237F09C3" w14:textId="77777777" w:rsidR="000E1F1B" w:rsidRDefault="00000000">
      <w:pPr>
        <w:pStyle w:val="Titre2"/>
      </w:pPr>
      <w:r>
        <w:t>2.3 — Provisionnement IFRS 9 &amp; ECL</w:t>
      </w:r>
    </w:p>
    <w:p w14:paraId="5BA630B7" w14:textId="77777777" w:rsidR="000E1F1B" w:rsidRDefault="00000000">
      <w:pPr>
        <w:spacing w:before="60" w:after="60"/>
      </w:pPr>
      <w:r>
        <w:rPr>
          <w:color w:val="333333"/>
        </w:rPr>
        <w:t>La norme IFRS 9 impose aux institutions financières de provisionner les pertes de crédit attendues (</w:t>
      </w:r>
      <w:proofErr w:type="spellStart"/>
      <w:r>
        <w:rPr>
          <w:color w:val="333333"/>
        </w:rPr>
        <w:t>Expected</w:t>
      </w:r>
      <w:proofErr w:type="spellEnd"/>
      <w:r>
        <w:rPr>
          <w:color w:val="333333"/>
        </w:rPr>
        <w:t xml:space="preserve"> Credit Loss — ECL) sur l'ensemble de leur portefeuille, dès l'origination. Cette approche prospective (</w:t>
      </w:r>
      <w:proofErr w:type="spellStart"/>
      <w:r>
        <w:rPr>
          <w:color w:val="333333"/>
        </w:rPr>
        <w:t>forward-looking</w:t>
      </w:r>
      <w:proofErr w:type="spellEnd"/>
      <w:r>
        <w:rPr>
          <w:color w:val="333333"/>
        </w:rPr>
        <w:t>) est plus complexe que l'ancienne norme IAS 39.</w:t>
      </w:r>
    </w:p>
    <w:p w14:paraId="11A7C323" w14:textId="77777777" w:rsidR="000E1F1B" w:rsidRDefault="00000000">
      <w:pPr>
        <w:spacing w:before="180" w:after="60"/>
      </w:pPr>
      <w:r>
        <w:rPr>
          <w:b/>
          <w:bCs/>
          <w:color w:val="534AB7"/>
          <w:sz w:val="22"/>
          <w:szCs w:val="22"/>
        </w:rPr>
        <w:t>Les 3 étapes du modèle IFRS 9</w:t>
      </w:r>
    </w:p>
    <w:p w14:paraId="6BF5C358" w14:textId="77777777" w:rsidR="000E1F1B" w:rsidRDefault="00000000">
      <w:pPr>
        <w:pStyle w:val="Paragraphedeliste"/>
        <w:numPr>
          <w:ilvl w:val="0"/>
          <w:numId w:val="3"/>
        </w:numPr>
        <w:spacing w:before="40" w:after="40"/>
      </w:pPr>
      <w:r>
        <w:rPr>
          <w:color w:val="333333"/>
        </w:rPr>
        <w:t>Étape 1 (Stage 1) : Expositions sans dégradation significative du risque depuis l'origination → ECL à 12 mois</w:t>
      </w:r>
    </w:p>
    <w:p w14:paraId="4E53F88F" w14:textId="77777777" w:rsidR="000E1F1B" w:rsidRDefault="00000000">
      <w:pPr>
        <w:pStyle w:val="Paragraphedeliste"/>
        <w:numPr>
          <w:ilvl w:val="0"/>
          <w:numId w:val="3"/>
        </w:numPr>
        <w:spacing w:before="40" w:after="40"/>
      </w:pPr>
      <w:r>
        <w:rPr>
          <w:color w:val="333333"/>
        </w:rPr>
        <w:t>Étape 2 (Stage 2) : Expositions avec dégradation significative → ECL sur toute la durée de vie</w:t>
      </w:r>
    </w:p>
    <w:p w14:paraId="06736DE1" w14:textId="77777777" w:rsidR="000E1F1B" w:rsidRDefault="00000000">
      <w:pPr>
        <w:pStyle w:val="Paragraphedeliste"/>
        <w:numPr>
          <w:ilvl w:val="0"/>
          <w:numId w:val="3"/>
        </w:numPr>
        <w:spacing w:before="40" w:after="40"/>
      </w:pPr>
      <w:r>
        <w:rPr>
          <w:color w:val="333333"/>
        </w:rPr>
        <w:t>Étape 3 (Stage 3) : Expositions en défaut → ECL sur toute la durée de vie + intérêts sur valeur nette</w:t>
      </w:r>
    </w:p>
    <w:p w14:paraId="154B01BF" w14:textId="77777777" w:rsidR="000E1F1B" w:rsidRDefault="000E1F1B"/>
    <w:p w14:paraId="798EA7EB" w14:textId="77777777" w:rsidR="000E1F1B" w:rsidRDefault="00000000">
      <w:pPr>
        <w:spacing w:before="180" w:after="60"/>
      </w:pPr>
      <w:r>
        <w:rPr>
          <w:b/>
          <w:bCs/>
          <w:color w:val="534AB7"/>
          <w:sz w:val="22"/>
          <w:szCs w:val="22"/>
        </w:rPr>
        <w:t>Notre approche de calcul ECL</w:t>
      </w:r>
    </w:p>
    <w:p w14:paraId="70CCD0AA" w14:textId="77777777" w:rsidR="000E1F1B" w:rsidRDefault="00000000">
      <w:pPr>
        <w:pStyle w:val="Paragraphedeliste"/>
        <w:numPr>
          <w:ilvl w:val="0"/>
          <w:numId w:val="2"/>
        </w:numPr>
        <w:spacing w:before="40" w:after="40"/>
      </w:pPr>
      <w:r>
        <w:rPr>
          <w:color w:val="333333"/>
        </w:rPr>
        <w:t xml:space="preserve">Définition des critères de transfert entre stages (SICR — </w:t>
      </w:r>
      <w:proofErr w:type="spellStart"/>
      <w:r>
        <w:rPr>
          <w:color w:val="333333"/>
        </w:rPr>
        <w:t>Significant</w:t>
      </w:r>
      <w:proofErr w:type="spellEnd"/>
      <w:r>
        <w:rPr>
          <w:color w:val="333333"/>
        </w:rPr>
        <w:t xml:space="preserve"> </w:t>
      </w:r>
      <w:proofErr w:type="spellStart"/>
      <w:r>
        <w:rPr>
          <w:color w:val="333333"/>
        </w:rPr>
        <w:t>Increase</w:t>
      </w:r>
      <w:proofErr w:type="spellEnd"/>
      <w:r>
        <w:rPr>
          <w:color w:val="333333"/>
        </w:rPr>
        <w:t xml:space="preserve"> in Credit Risk)</w:t>
      </w:r>
    </w:p>
    <w:p w14:paraId="7C6DF1FB" w14:textId="77777777" w:rsidR="000E1F1B" w:rsidRDefault="00000000">
      <w:pPr>
        <w:pStyle w:val="Paragraphedeliste"/>
        <w:numPr>
          <w:ilvl w:val="0"/>
          <w:numId w:val="2"/>
        </w:numPr>
        <w:spacing w:before="40" w:after="40"/>
      </w:pPr>
      <w:r>
        <w:rPr>
          <w:color w:val="333333"/>
        </w:rPr>
        <w:lastRenderedPageBreak/>
        <w:t>Intégration des informations macro-économiques prospectives (GDP, inflation, taux directeurs BCEAO)</w:t>
      </w:r>
    </w:p>
    <w:p w14:paraId="20E91D80" w14:textId="77777777" w:rsidR="000E1F1B" w:rsidRDefault="00000000">
      <w:pPr>
        <w:pStyle w:val="Paragraphedeliste"/>
        <w:numPr>
          <w:ilvl w:val="0"/>
          <w:numId w:val="2"/>
        </w:numPr>
        <w:spacing w:before="40" w:after="40"/>
      </w:pPr>
      <w:r>
        <w:rPr>
          <w:color w:val="333333"/>
        </w:rPr>
        <w:t xml:space="preserve">Modélisation des PD </w:t>
      </w:r>
      <w:proofErr w:type="spellStart"/>
      <w:r>
        <w:rPr>
          <w:color w:val="333333"/>
        </w:rPr>
        <w:t>forward-looking</w:t>
      </w:r>
      <w:proofErr w:type="spellEnd"/>
      <w:r>
        <w:rPr>
          <w:color w:val="333333"/>
        </w:rPr>
        <w:t xml:space="preserve"> sur horizons 1 an, 3 ans, 5 ans</w:t>
      </w:r>
    </w:p>
    <w:p w14:paraId="2A1D7FF5" w14:textId="77777777" w:rsidR="000E1F1B" w:rsidRDefault="00000000">
      <w:pPr>
        <w:pStyle w:val="Paragraphedeliste"/>
        <w:numPr>
          <w:ilvl w:val="0"/>
          <w:numId w:val="2"/>
        </w:numPr>
        <w:spacing w:before="40" w:after="40"/>
      </w:pPr>
      <w:r>
        <w:rPr>
          <w:color w:val="333333"/>
        </w:rPr>
        <w:t>Calcul des provisions par portefeuille et par contrepartie individuelle</w:t>
      </w:r>
    </w:p>
    <w:p w14:paraId="48C2A648" w14:textId="77777777" w:rsidR="000E1F1B" w:rsidRDefault="00000000">
      <w:pPr>
        <w:pStyle w:val="Paragraphedeliste"/>
        <w:numPr>
          <w:ilvl w:val="0"/>
          <w:numId w:val="2"/>
        </w:numPr>
        <w:spacing w:before="40" w:after="40"/>
      </w:pPr>
      <w:r>
        <w:rPr>
          <w:color w:val="333333"/>
        </w:rPr>
        <w:t>Réconciliation avec les exigences de communication financière (notes aux états financiers)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5953530B" w14:textId="77777777">
        <w:tc>
          <w:tcPr>
            <w:tcW w:w="9360" w:type="dxa"/>
            <w:tcBorders>
              <w:top w:val="single" w:sz="4" w:space="0" w:color="1D9E75"/>
              <w:left w:val="single" w:sz="12" w:space="0" w:color="1D9E75"/>
              <w:bottom w:val="none" w:sz="0" w:space="0" w:color="FFFFFF"/>
              <w:right w:val="none" w:sz="0" w:space="0" w:color="FFFFFF"/>
            </w:tcBorders>
            <w:shd w:val="clear" w:color="auto" w:fill="E1F5EE"/>
            <w:tcMar>
              <w:top w:w="120" w:type="dxa"/>
              <w:left w:w="200" w:type="dxa"/>
              <w:bottom w:w="120" w:type="dxa"/>
              <w:right w:w="200" w:type="dxa"/>
            </w:tcMar>
          </w:tcPr>
          <w:p w14:paraId="6E71EE8C" w14:textId="77777777" w:rsidR="000E1F1B" w:rsidRDefault="00000000">
            <w:pPr>
              <w:spacing w:after="60"/>
            </w:pPr>
            <w:r>
              <w:rPr>
                <w:b/>
                <w:bCs/>
                <w:color w:val="3C3489"/>
                <w:sz w:val="20"/>
                <w:szCs w:val="20"/>
              </w:rPr>
              <w:t>Livrables — Provisionnement IFRS 9</w:t>
            </w:r>
          </w:p>
          <w:p w14:paraId="23D95B42" w14:textId="77777777" w:rsidR="000E1F1B" w:rsidRDefault="00000000">
            <w:pPr>
              <w:spacing w:before="20" w:after="20"/>
            </w:pPr>
            <w:r>
              <w:rPr>
                <w:color w:val="444444"/>
                <w:sz w:val="19"/>
                <w:szCs w:val="19"/>
              </w:rPr>
              <w:t>• Modèle de calcul ECL complet (Excel / Python) par portefeuille</w:t>
            </w:r>
          </w:p>
          <w:p w14:paraId="648ECA1E" w14:textId="77777777" w:rsidR="000E1F1B" w:rsidRDefault="00000000">
            <w:pPr>
              <w:spacing w:before="20" w:after="20"/>
            </w:pPr>
            <w:r>
              <w:rPr>
                <w:color w:val="444444"/>
                <w:sz w:val="19"/>
                <w:szCs w:val="19"/>
              </w:rPr>
              <w:t xml:space="preserve">• Rapport de </w:t>
            </w:r>
            <w:proofErr w:type="spellStart"/>
            <w:r>
              <w:rPr>
                <w:color w:val="444444"/>
                <w:sz w:val="19"/>
                <w:szCs w:val="19"/>
              </w:rPr>
              <w:t>staging</w:t>
            </w:r>
            <w:proofErr w:type="spellEnd"/>
            <w:r>
              <w:rPr>
                <w:color w:val="444444"/>
                <w:sz w:val="19"/>
                <w:szCs w:val="19"/>
              </w:rPr>
              <w:t xml:space="preserve"> avec justification des transferts entre étapes</w:t>
            </w:r>
          </w:p>
          <w:p w14:paraId="54ECC441" w14:textId="77777777" w:rsidR="000E1F1B" w:rsidRDefault="00000000">
            <w:pPr>
              <w:spacing w:before="20" w:after="20"/>
            </w:pPr>
            <w:r>
              <w:rPr>
                <w:color w:val="444444"/>
                <w:sz w:val="19"/>
                <w:szCs w:val="19"/>
              </w:rPr>
              <w:t>• Intégration des scénarios macro-économiques (optimiste, central, pessimiste)</w:t>
            </w:r>
          </w:p>
          <w:p w14:paraId="1A31C5E9" w14:textId="77777777" w:rsidR="000E1F1B" w:rsidRDefault="00000000">
            <w:pPr>
              <w:spacing w:before="20" w:after="20"/>
            </w:pPr>
            <w:r>
              <w:rPr>
                <w:color w:val="444444"/>
                <w:sz w:val="19"/>
                <w:szCs w:val="19"/>
              </w:rPr>
              <w:t>• Rapport de sensibilité des provisions aux paramètres macro</w:t>
            </w:r>
          </w:p>
          <w:p w14:paraId="02823C63" w14:textId="77777777" w:rsidR="000E1F1B" w:rsidRDefault="00000000">
            <w:pPr>
              <w:spacing w:before="20" w:after="20"/>
            </w:pPr>
            <w:r>
              <w:rPr>
                <w:color w:val="444444"/>
                <w:sz w:val="19"/>
                <w:szCs w:val="19"/>
              </w:rPr>
              <w:t>• Documentation pour les commissaires aux comptes et le régulateur</w:t>
            </w:r>
          </w:p>
        </w:tc>
      </w:tr>
    </w:tbl>
    <w:p w14:paraId="6CA5A5DC" w14:textId="77777777" w:rsidR="000E1F1B" w:rsidRDefault="000E1F1B"/>
    <w:p w14:paraId="29D8EA1A" w14:textId="77777777" w:rsidR="000E1F1B" w:rsidRDefault="00000000">
      <w:pPr>
        <w:pStyle w:val="Titre2"/>
      </w:pPr>
      <w:r>
        <w:t>2.4 — Risque de contrepartie (CCR) &amp; XVA</w:t>
      </w:r>
    </w:p>
    <w:p w14:paraId="0199A09F" w14:textId="77777777" w:rsidR="000E1F1B" w:rsidRDefault="00000000">
      <w:pPr>
        <w:spacing w:before="60" w:after="60"/>
      </w:pPr>
      <w:r>
        <w:rPr>
          <w:color w:val="333333"/>
        </w:rPr>
        <w:t>Le risque de contrepartie est le risque que la contrepartie d'un contrat dérivé fasse défaut avant l'échéance du contrat. Il est particulièrement important pour les banques actives sur les marchés des changes et des dérivés de taux.</w:t>
      </w:r>
    </w:p>
    <w:p w14:paraId="7DB39793" w14:textId="77777777" w:rsidR="000E1F1B" w:rsidRDefault="00000000">
      <w:pPr>
        <w:spacing w:before="180" w:after="60"/>
      </w:pPr>
      <w:r>
        <w:rPr>
          <w:b/>
          <w:bCs/>
          <w:color w:val="534AB7"/>
          <w:sz w:val="22"/>
          <w:szCs w:val="22"/>
        </w:rPr>
        <w:t>Mesures d'exposition</w:t>
      </w:r>
    </w:p>
    <w:p w14:paraId="6DCADBDC" w14:textId="77777777" w:rsidR="000E1F1B" w:rsidRDefault="00000000">
      <w:pPr>
        <w:pStyle w:val="Paragraphedeliste"/>
        <w:numPr>
          <w:ilvl w:val="0"/>
          <w:numId w:val="2"/>
        </w:numPr>
        <w:spacing w:before="40" w:after="40"/>
      </w:pPr>
      <w:r>
        <w:rPr>
          <w:color w:val="333333"/>
        </w:rPr>
        <w:t>Mark-to-Market (</w:t>
      </w:r>
      <w:proofErr w:type="spellStart"/>
      <w:r>
        <w:rPr>
          <w:color w:val="333333"/>
        </w:rPr>
        <w:t>MtM</w:t>
      </w:r>
      <w:proofErr w:type="spellEnd"/>
      <w:r>
        <w:rPr>
          <w:color w:val="333333"/>
        </w:rPr>
        <w:t>) : valeur de remplacement courante du dérivé</w:t>
      </w:r>
    </w:p>
    <w:p w14:paraId="1A617D3C" w14:textId="77777777" w:rsidR="000E1F1B" w:rsidRDefault="00000000">
      <w:pPr>
        <w:pStyle w:val="Paragraphedeliste"/>
        <w:numPr>
          <w:ilvl w:val="0"/>
          <w:numId w:val="2"/>
        </w:numPr>
        <w:spacing w:before="40" w:after="40"/>
      </w:pPr>
      <w:r>
        <w:rPr>
          <w:color w:val="333333"/>
        </w:rPr>
        <w:t>PFE (</w:t>
      </w:r>
      <w:proofErr w:type="spellStart"/>
      <w:r>
        <w:rPr>
          <w:color w:val="333333"/>
        </w:rPr>
        <w:t>Potential</w:t>
      </w:r>
      <w:proofErr w:type="spellEnd"/>
      <w:r>
        <w:rPr>
          <w:color w:val="333333"/>
        </w:rPr>
        <w:t xml:space="preserve"> Future </w:t>
      </w:r>
      <w:proofErr w:type="spellStart"/>
      <w:r>
        <w:rPr>
          <w:color w:val="333333"/>
        </w:rPr>
        <w:t>Exposure</w:t>
      </w:r>
      <w:proofErr w:type="spellEnd"/>
      <w:r>
        <w:rPr>
          <w:color w:val="333333"/>
        </w:rPr>
        <w:t>) : exposition potentielle future au percentile 95%</w:t>
      </w:r>
    </w:p>
    <w:p w14:paraId="290E3972" w14:textId="77777777" w:rsidR="000E1F1B" w:rsidRDefault="00000000">
      <w:pPr>
        <w:pStyle w:val="Paragraphedeliste"/>
        <w:numPr>
          <w:ilvl w:val="0"/>
          <w:numId w:val="2"/>
        </w:numPr>
        <w:spacing w:before="40" w:after="40"/>
      </w:pPr>
      <w:r>
        <w:rPr>
          <w:color w:val="333333"/>
        </w:rPr>
        <w:t>EPE (</w:t>
      </w:r>
      <w:proofErr w:type="spellStart"/>
      <w:r>
        <w:rPr>
          <w:color w:val="333333"/>
        </w:rPr>
        <w:t>Expected</w:t>
      </w:r>
      <w:proofErr w:type="spellEnd"/>
      <w:r>
        <w:rPr>
          <w:color w:val="333333"/>
        </w:rPr>
        <w:t xml:space="preserve"> Positive </w:t>
      </w:r>
      <w:proofErr w:type="spellStart"/>
      <w:r>
        <w:rPr>
          <w:color w:val="333333"/>
        </w:rPr>
        <w:t>Exposure</w:t>
      </w:r>
      <w:proofErr w:type="spellEnd"/>
      <w:r>
        <w:rPr>
          <w:color w:val="333333"/>
        </w:rPr>
        <w:t>) : espérance de l'exposition positive future</w:t>
      </w:r>
    </w:p>
    <w:p w14:paraId="21BE8B4E" w14:textId="77777777" w:rsidR="000E1F1B" w:rsidRDefault="00000000">
      <w:pPr>
        <w:pStyle w:val="Paragraphedeliste"/>
        <w:numPr>
          <w:ilvl w:val="0"/>
          <w:numId w:val="2"/>
        </w:numPr>
        <w:spacing w:before="40" w:after="40"/>
      </w:pPr>
      <w:r>
        <w:rPr>
          <w:color w:val="333333"/>
        </w:rPr>
        <w:t xml:space="preserve">Profils d'exposition par produit : swap de taux, </w:t>
      </w:r>
      <w:proofErr w:type="spellStart"/>
      <w:r>
        <w:rPr>
          <w:color w:val="333333"/>
        </w:rPr>
        <w:t>forward</w:t>
      </w:r>
      <w:proofErr w:type="spellEnd"/>
      <w:r>
        <w:rPr>
          <w:color w:val="333333"/>
        </w:rPr>
        <w:t xml:space="preserve"> FX, options</w:t>
      </w:r>
    </w:p>
    <w:p w14:paraId="25F2EE5A" w14:textId="77777777" w:rsidR="000E1F1B" w:rsidRDefault="00000000">
      <w:pPr>
        <w:spacing w:before="180" w:after="60"/>
      </w:pPr>
      <w:r>
        <w:rPr>
          <w:b/>
          <w:bCs/>
          <w:color w:val="534AB7"/>
          <w:sz w:val="22"/>
          <w:szCs w:val="22"/>
        </w:rPr>
        <w:t>Ajustements de valeur (XVA)</w:t>
      </w:r>
    </w:p>
    <w:p w14:paraId="73AEC351" w14:textId="77777777" w:rsidR="000E1F1B" w:rsidRDefault="00000000">
      <w:pPr>
        <w:pStyle w:val="Paragraphedeliste"/>
        <w:numPr>
          <w:ilvl w:val="0"/>
          <w:numId w:val="2"/>
        </w:numPr>
        <w:spacing w:before="40" w:after="40"/>
      </w:pPr>
      <w:r>
        <w:rPr>
          <w:color w:val="333333"/>
        </w:rPr>
        <w:t xml:space="preserve">CVA (Credit Valuation </w:t>
      </w:r>
      <w:proofErr w:type="spellStart"/>
      <w:r>
        <w:rPr>
          <w:color w:val="333333"/>
        </w:rPr>
        <w:t>Adjustment</w:t>
      </w:r>
      <w:proofErr w:type="spellEnd"/>
      <w:r>
        <w:rPr>
          <w:color w:val="333333"/>
        </w:rPr>
        <w:t>) : ajustement lié au risque de défaut de la contrepartie</w:t>
      </w:r>
    </w:p>
    <w:p w14:paraId="1287E55A" w14:textId="77777777" w:rsidR="000E1F1B" w:rsidRDefault="00000000">
      <w:pPr>
        <w:pStyle w:val="Paragraphedeliste"/>
        <w:numPr>
          <w:ilvl w:val="0"/>
          <w:numId w:val="2"/>
        </w:numPr>
        <w:spacing w:before="40" w:after="40"/>
      </w:pPr>
      <w:r>
        <w:rPr>
          <w:color w:val="333333"/>
        </w:rPr>
        <w:t>DVA (</w:t>
      </w:r>
      <w:proofErr w:type="spellStart"/>
      <w:r>
        <w:rPr>
          <w:color w:val="333333"/>
        </w:rPr>
        <w:t>Debit</w:t>
      </w:r>
      <w:proofErr w:type="spellEnd"/>
      <w:r>
        <w:rPr>
          <w:color w:val="333333"/>
        </w:rPr>
        <w:t xml:space="preserve"> Valuation </w:t>
      </w:r>
      <w:proofErr w:type="spellStart"/>
      <w:r>
        <w:rPr>
          <w:color w:val="333333"/>
        </w:rPr>
        <w:t>Adjustment</w:t>
      </w:r>
      <w:proofErr w:type="spellEnd"/>
      <w:r>
        <w:rPr>
          <w:color w:val="333333"/>
        </w:rPr>
        <w:t>) : ajustement lié à son propre risque de défaut</w:t>
      </w:r>
    </w:p>
    <w:p w14:paraId="027668F8" w14:textId="77777777" w:rsidR="000E1F1B" w:rsidRDefault="00000000">
      <w:pPr>
        <w:pStyle w:val="Paragraphedeliste"/>
        <w:numPr>
          <w:ilvl w:val="0"/>
          <w:numId w:val="2"/>
        </w:numPr>
        <w:spacing w:before="40" w:after="40"/>
      </w:pPr>
      <w:r>
        <w:rPr>
          <w:color w:val="333333"/>
        </w:rPr>
        <w:t xml:space="preserve">FVA (Funding Valuation </w:t>
      </w:r>
      <w:proofErr w:type="spellStart"/>
      <w:r>
        <w:rPr>
          <w:color w:val="333333"/>
        </w:rPr>
        <w:t>Adjustment</w:t>
      </w:r>
      <w:proofErr w:type="spellEnd"/>
      <w:r>
        <w:rPr>
          <w:color w:val="333333"/>
        </w:rPr>
        <w:t xml:space="preserve">) : coût de financement des positions non </w:t>
      </w:r>
      <w:proofErr w:type="spellStart"/>
      <w:r>
        <w:rPr>
          <w:color w:val="333333"/>
        </w:rPr>
        <w:t>collatéralisées</w:t>
      </w:r>
      <w:proofErr w:type="spellEnd"/>
    </w:p>
    <w:p w14:paraId="13A59936" w14:textId="77777777" w:rsidR="000E1F1B" w:rsidRDefault="00000000">
      <w:pPr>
        <w:pStyle w:val="Paragraphedeliste"/>
        <w:numPr>
          <w:ilvl w:val="0"/>
          <w:numId w:val="2"/>
        </w:numPr>
        <w:spacing w:before="40" w:after="40"/>
      </w:pPr>
      <w:r>
        <w:rPr>
          <w:color w:val="333333"/>
        </w:rPr>
        <w:t>MVA (</w:t>
      </w:r>
      <w:proofErr w:type="spellStart"/>
      <w:r>
        <w:rPr>
          <w:color w:val="333333"/>
        </w:rPr>
        <w:t>Margin</w:t>
      </w:r>
      <w:proofErr w:type="spellEnd"/>
      <w:r>
        <w:rPr>
          <w:color w:val="333333"/>
        </w:rPr>
        <w:t xml:space="preserve"> Valuation </w:t>
      </w:r>
      <w:proofErr w:type="spellStart"/>
      <w:r>
        <w:rPr>
          <w:color w:val="333333"/>
        </w:rPr>
        <w:t>Adjustment</w:t>
      </w:r>
      <w:proofErr w:type="spellEnd"/>
      <w:r>
        <w:rPr>
          <w:color w:val="333333"/>
        </w:rPr>
        <w:t>) : coût lié aux appels de marge initiaux</w:t>
      </w:r>
    </w:p>
    <w:p w14:paraId="52F3590D" w14:textId="77777777" w:rsidR="000E1F1B" w:rsidRDefault="00000000">
      <w:pPr>
        <w:spacing w:before="180" w:after="60"/>
      </w:pPr>
      <w:r>
        <w:rPr>
          <w:b/>
          <w:bCs/>
          <w:color w:val="534AB7"/>
          <w:sz w:val="22"/>
          <w:szCs w:val="22"/>
        </w:rPr>
        <w:t>Techniques de réduction du risque</w:t>
      </w:r>
    </w:p>
    <w:p w14:paraId="5CAC2D8C" w14:textId="77777777" w:rsidR="000E1F1B" w:rsidRDefault="00000000">
      <w:pPr>
        <w:pStyle w:val="Paragraphedeliste"/>
        <w:numPr>
          <w:ilvl w:val="0"/>
          <w:numId w:val="2"/>
        </w:numPr>
        <w:spacing w:before="40" w:after="40"/>
      </w:pPr>
      <w:r>
        <w:rPr>
          <w:color w:val="333333"/>
        </w:rPr>
        <w:t xml:space="preserve">Accords de </w:t>
      </w:r>
      <w:proofErr w:type="spellStart"/>
      <w:r>
        <w:rPr>
          <w:color w:val="333333"/>
        </w:rPr>
        <w:t>netting</w:t>
      </w:r>
      <w:proofErr w:type="spellEnd"/>
      <w:r>
        <w:rPr>
          <w:color w:val="333333"/>
        </w:rPr>
        <w:t xml:space="preserve"> (ISDA Master Agreement) : compensation des positions positives et négatives</w:t>
      </w:r>
    </w:p>
    <w:p w14:paraId="545C4E4B" w14:textId="77777777" w:rsidR="000E1F1B" w:rsidRDefault="00000000">
      <w:pPr>
        <w:pStyle w:val="Paragraphedeliste"/>
        <w:numPr>
          <w:ilvl w:val="0"/>
          <w:numId w:val="2"/>
        </w:numPr>
        <w:spacing w:before="40" w:after="40"/>
      </w:pPr>
      <w:r>
        <w:rPr>
          <w:color w:val="333333"/>
        </w:rPr>
        <w:t>Accords de collatéral (CSA) : dépôts de garantie réduisant l'exposition nette</w:t>
      </w:r>
    </w:p>
    <w:p w14:paraId="74346571" w14:textId="77777777" w:rsidR="000E1F1B" w:rsidRDefault="00000000">
      <w:pPr>
        <w:pStyle w:val="Paragraphedeliste"/>
        <w:numPr>
          <w:ilvl w:val="0"/>
          <w:numId w:val="2"/>
        </w:numPr>
        <w:spacing w:before="40" w:after="40"/>
      </w:pPr>
      <w:r>
        <w:rPr>
          <w:color w:val="333333"/>
        </w:rPr>
        <w:t xml:space="preserve">Calcul du capital réglementaire SA-CCR (Standard </w:t>
      </w:r>
      <w:proofErr w:type="spellStart"/>
      <w:r>
        <w:rPr>
          <w:color w:val="333333"/>
        </w:rPr>
        <w:t>Approach</w:t>
      </w:r>
      <w:proofErr w:type="spellEnd"/>
      <w:r>
        <w:rPr>
          <w:color w:val="333333"/>
        </w:rPr>
        <w:t xml:space="preserve"> for CCR — Bâle IV)</w:t>
      </w:r>
    </w:p>
    <w:p w14:paraId="192483DC" w14:textId="77777777" w:rsidR="000E1F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543671EA" w14:textId="77777777">
        <w:tc>
          <w:tcPr>
            <w:tcW w:w="9360" w:type="dxa"/>
            <w:tcBorders>
              <w:top w:val="none" w:sz="0" w:space="0" w:color="FFFFFF"/>
              <w:left w:val="none" w:sz="0" w:space="0" w:color="FFFFFF"/>
              <w:bottom w:val="none" w:sz="0" w:space="0" w:color="FFFFFF"/>
              <w:right w:val="none" w:sz="0" w:space="0" w:color="FFFFFF"/>
            </w:tcBorders>
            <w:shd w:val="clear" w:color="auto" w:fill="BA7517"/>
            <w:tcMar>
              <w:top w:w="200" w:type="dxa"/>
              <w:left w:w="300" w:type="dxa"/>
              <w:bottom w:w="200" w:type="dxa"/>
              <w:right w:w="300" w:type="dxa"/>
            </w:tcMar>
          </w:tcPr>
          <w:p w14:paraId="28E3404D" w14:textId="77777777" w:rsidR="000E1F1B" w:rsidRDefault="00000000">
            <w:r>
              <w:rPr>
                <w:color w:val="FFFFFF"/>
                <w:sz w:val="18"/>
                <w:szCs w:val="18"/>
              </w:rPr>
              <w:lastRenderedPageBreak/>
              <w:t>PÔLE 3</w:t>
            </w:r>
          </w:p>
          <w:p w14:paraId="31269859" w14:textId="77777777" w:rsidR="000E1F1B" w:rsidRDefault="00000000">
            <w:r>
              <w:rPr>
                <w:b/>
                <w:bCs/>
                <w:color w:val="FFFFFF"/>
                <w:sz w:val="40"/>
                <w:szCs w:val="40"/>
              </w:rPr>
              <w:t>Risque opérationnel &amp; ESG</w:t>
            </w:r>
          </w:p>
          <w:p w14:paraId="30AF6806" w14:textId="77777777" w:rsidR="000E1F1B" w:rsidRDefault="00000000">
            <w:r>
              <w:rPr>
                <w:i/>
                <w:iCs/>
                <w:color w:val="FFFFFF"/>
                <w:sz w:val="22"/>
                <w:szCs w:val="22"/>
              </w:rPr>
              <w:t>Cartographie · Quantification · Durabilité</w:t>
            </w:r>
          </w:p>
        </w:tc>
      </w:tr>
    </w:tbl>
    <w:p w14:paraId="47BCFFA4" w14:textId="77777777" w:rsidR="000E1F1B" w:rsidRDefault="000E1F1B"/>
    <w:p w14:paraId="38A8040E" w14:textId="77777777" w:rsidR="000E1F1B" w:rsidRDefault="00000000">
      <w:pPr>
        <w:pStyle w:val="Titre2"/>
      </w:pPr>
      <w:r>
        <w:t>Présentation générale</w:t>
      </w:r>
    </w:p>
    <w:p w14:paraId="20B05FE2" w14:textId="77777777" w:rsidR="000E1F1B" w:rsidRDefault="00000000" w:rsidP="00DB7D60">
      <w:pPr>
        <w:spacing w:before="60" w:after="60"/>
        <w:jc w:val="both"/>
      </w:pPr>
      <w:r>
        <w:rPr>
          <w:color w:val="333333"/>
        </w:rPr>
        <w:t>Le risque opérationnel est le risque de perte résultant de processus internes défaillants, de personnes, de systèmes ou d'événements externes. Il inclut les risques de fraude, d'erreur humaine, de panne informatique, de catastrophe naturelle et de non-conformité réglementaire.</w:t>
      </w:r>
    </w:p>
    <w:p w14:paraId="295B2FEE" w14:textId="77777777" w:rsidR="000E1F1B" w:rsidRDefault="00000000" w:rsidP="00DB7D60">
      <w:pPr>
        <w:spacing w:before="60" w:after="60"/>
        <w:jc w:val="both"/>
      </w:pPr>
      <w:r>
        <w:rPr>
          <w:color w:val="333333"/>
        </w:rPr>
        <w:t>Le risque ESG (Environnemental, Social, Gouvernance) est désormais intégré dans les cadres réglementaires (TCFD, CSRD) et représente un enjeu croissant pour les institutions africaines, notamment sous la pression des bailleurs de fonds internationaux.</w:t>
      </w:r>
    </w:p>
    <w:p w14:paraId="2A4A743C" w14:textId="77777777" w:rsidR="000E1F1B" w:rsidRDefault="000E1F1B"/>
    <w:p w14:paraId="0559F32C" w14:textId="77777777" w:rsidR="000E1F1B" w:rsidRDefault="00000000">
      <w:pPr>
        <w:pStyle w:val="Titre2"/>
      </w:pPr>
      <w:r>
        <w:t>3.1 — Cartographie &amp; gestion du risque opérationnel</w:t>
      </w:r>
    </w:p>
    <w:p w14:paraId="66D29C80" w14:textId="77777777" w:rsidR="000E1F1B" w:rsidRDefault="00000000">
      <w:pPr>
        <w:spacing w:before="180" w:after="60"/>
      </w:pPr>
      <w:r>
        <w:rPr>
          <w:b/>
          <w:bCs/>
          <w:color w:val="534AB7"/>
          <w:sz w:val="22"/>
          <w:szCs w:val="22"/>
        </w:rPr>
        <w:t>Identification &amp; cartographie des risques</w:t>
      </w:r>
    </w:p>
    <w:p w14:paraId="38CAB936" w14:textId="77777777" w:rsidR="000E1F1B" w:rsidRDefault="00000000">
      <w:pPr>
        <w:spacing w:before="60" w:after="60"/>
      </w:pPr>
      <w:r>
        <w:rPr>
          <w:color w:val="333333"/>
        </w:rPr>
        <w:t>La cartographie des risques est l'étape fondatrice de tout dispositif de gestion du risque opérationnel. Elle permet de visualiser et prioriser les expositions.</w:t>
      </w:r>
    </w:p>
    <w:p w14:paraId="543016DF" w14:textId="77777777" w:rsidR="000E1F1B" w:rsidRDefault="00000000">
      <w:pPr>
        <w:pStyle w:val="Paragraphedeliste"/>
        <w:numPr>
          <w:ilvl w:val="0"/>
          <w:numId w:val="2"/>
        </w:numPr>
        <w:spacing w:before="40" w:after="40"/>
      </w:pPr>
      <w:r>
        <w:rPr>
          <w:color w:val="333333"/>
        </w:rPr>
        <w:t>Ateliers de collecte des risques par processus métier (collecte de dépôts, octroi de crédit, gestion de trésorerie, conformité)</w:t>
      </w:r>
    </w:p>
    <w:p w14:paraId="53EA4313" w14:textId="77777777" w:rsidR="000E1F1B" w:rsidRDefault="00000000">
      <w:pPr>
        <w:pStyle w:val="Paragraphedeliste"/>
        <w:numPr>
          <w:ilvl w:val="0"/>
          <w:numId w:val="2"/>
        </w:numPr>
        <w:spacing w:before="40" w:after="40"/>
      </w:pPr>
      <w:r>
        <w:rPr>
          <w:color w:val="333333"/>
        </w:rPr>
        <w:t>Taxonomie des risques opérationnels : fraude interne, fraude externe, pratiques de travail, dommages aux actifs, interruption d'activité, défaillances systèmes, exécution &amp; livraison</w:t>
      </w:r>
    </w:p>
    <w:p w14:paraId="5D1C167A" w14:textId="77777777" w:rsidR="000E1F1B" w:rsidRDefault="00000000">
      <w:pPr>
        <w:pStyle w:val="Paragraphedeliste"/>
        <w:numPr>
          <w:ilvl w:val="0"/>
          <w:numId w:val="2"/>
        </w:numPr>
        <w:spacing w:before="40" w:after="40"/>
      </w:pPr>
      <w:r>
        <w:rPr>
          <w:color w:val="333333"/>
        </w:rPr>
        <w:t>Évaluation qualitative : fréquence (probabilité) et sévérité (impact) de chaque risque identifié</w:t>
      </w:r>
    </w:p>
    <w:p w14:paraId="199739B6" w14:textId="77777777" w:rsidR="000E1F1B" w:rsidRDefault="00000000">
      <w:pPr>
        <w:pStyle w:val="Paragraphedeliste"/>
        <w:numPr>
          <w:ilvl w:val="0"/>
          <w:numId w:val="2"/>
        </w:numPr>
        <w:spacing w:before="40" w:after="40"/>
      </w:pPr>
      <w:r>
        <w:rPr>
          <w:color w:val="333333"/>
        </w:rPr>
        <w:t>Matrice risques-contrôles : croisement des risques avec les contrôles existants</w:t>
      </w:r>
    </w:p>
    <w:p w14:paraId="598DCA77" w14:textId="77777777" w:rsidR="000E1F1B" w:rsidRDefault="00000000">
      <w:pPr>
        <w:pStyle w:val="Paragraphedeliste"/>
        <w:numPr>
          <w:ilvl w:val="0"/>
          <w:numId w:val="2"/>
        </w:numPr>
        <w:spacing w:before="40" w:after="40"/>
      </w:pPr>
      <w:proofErr w:type="spellStart"/>
      <w:r>
        <w:rPr>
          <w:color w:val="333333"/>
        </w:rPr>
        <w:t>Heatmap</w:t>
      </w:r>
      <w:proofErr w:type="spellEnd"/>
      <w:r>
        <w:rPr>
          <w:color w:val="333333"/>
        </w:rPr>
        <w:t xml:space="preserve"> de risque : représentation graphique des risques par criticité</w:t>
      </w:r>
    </w:p>
    <w:p w14:paraId="2F9D1EC8" w14:textId="77777777" w:rsidR="000E1F1B" w:rsidRDefault="00000000">
      <w:pPr>
        <w:spacing w:before="180" w:after="60"/>
      </w:pPr>
      <w:r>
        <w:rPr>
          <w:b/>
          <w:bCs/>
          <w:color w:val="534AB7"/>
          <w:sz w:val="22"/>
          <w:szCs w:val="22"/>
        </w:rPr>
        <w:t>Collecte &amp; analyse des pertes opérationnelles</w:t>
      </w:r>
    </w:p>
    <w:p w14:paraId="39B2B98C" w14:textId="77777777" w:rsidR="000E1F1B" w:rsidRDefault="00000000">
      <w:pPr>
        <w:pStyle w:val="Paragraphedeliste"/>
        <w:numPr>
          <w:ilvl w:val="0"/>
          <w:numId w:val="2"/>
        </w:numPr>
        <w:spacing w:before="40" w:after="40"/>
      </w:pPr>
      <w:r>
        <w:rPr>
          <w:color w:val="333333"/>
        </w:rPr>
        <w:t>Mise en place d'une base de données des incidents opérationnels (pertes, quasi-pertes)</w:t>
      </w:r>
    </w:p>
    <w:p w14:paraId="1884F000" w14:textId="77777777" w:rsidR="000E1F1B" w:rsidRDefault="00000000">
      <w:pPr>
        <w:pStyle w:val="Paragraphedeliste"/>
        <w:numPr>
          <w:ilvl w:val="0"/>
          <w:numId w:val="2"/>
        </w:numPr>
        <w:spacing w:before="40" w:after="40"/>
      </w:pPr>
      <w:r>
        <w:rPr>
          <w:color w:val="333333"/>
        </w:rPr>
        <w:t>Catégorisation selon la taxonomie Bâle IV (7 catégories d'événements)</w:t>
      </w:r>
    </w:p>
    <w:p w14:paraId="3EF7F60F" w14:textId="77777777" w:rsidR="000E1F1B" w:rsidRDefault="00000000">
      <w:pPr>
        <w:pStyle w:val="Paragraphedeliste"/>
        <w:numPr>
          <w:ilvl w:val="0"/>
          <w:numId w:val="2"/>
        </w:numPr>
        <w:spacing w:before="40" w:after="40"/>
      </w:pPr>
      <w:r>
        <w:rPr>
          <w:color w:val="333333"/>
        </w:rPr>
        <w:t xml:space="preserve">Analyse des tendances et des causes racines (Root Cause </w:t>
      </w:r>
      <w:proofErr w:type="spellStart"/>
      <w:r>
        <w:rPr>
          <w:color w:val="333333"/>
        </w:rPr>
        <w:t>Analysis</w:t>
      </w:r>
      <w:proofErr w:type="spellEnd"/>
      <w:r>
        <w:rPr>
          <w:color w:val="333333"/>
        </w:rPr>
        <w:t>)</w:t>
      </w:r>
    </w:p>
    <w:p w14:paraId="49A770EB" w14:textId="77777777" w:rsidR="000E1F1B" w:rsidRDefault="00000000">
      <w:pPr>
        <w:pStyle w:val="Paragraphedeliste"/>
        <w:numPr>
          <w:ilvl w:val="0"/>
          <w:numId w:val="2"/>
        </w:numPr>
        <w:spacing w:before="40" w:after="40"/>
      </w:pPr>
      <w:r>
        <w:rPr>
          <w:color w:val="333333"/>
        </w:rPr>
        <w:t>Benchmarking avec les données de pertes sectorielles (ORX, bases africaines)</w:t>
      </w:r>
    </w:p>
    <w:p w14:paraId="37A3CE8C" w14:textId="77777777" w:rsidR="000E1F1B" w:rsidRDefault="00000000">
      <w:pPr>
        <w:spacing w:before="180" w:after="60"/>
      </w:pPr>
      <w:r>
        <w:rPr>
          <w:b/>
          <w:bCs/>
          <w:color w:val="534AB7"/>
          <w:sz w:val="22"/>
          <w:szCs w:val="22"/>
        </w:rPr>
        <w:t>Quantification du risque opérationnel</w:t>
      </w:r>
    </w:p>
    <w:p w14:paraId="2237AF45" w14:textId="77777777" w:rsidR="000E1F1B" w:rsidRDefault="00000000">
      <w:pPr>
        <w:pStyle w:val="Paragraphedeliste"/>
        <w:numPr>
          <w:ilvl w:val="0"/>
          <w:numId w:val="2"/>
        </w:numPr>
        <w:spacing w:before="40" w:after="40"/>
      </w:pPr>
      <w:r>
        <w:rPr>
          <w:color w:val="333333"/>
        </w:rPr>
        <w:t>Approche standard Bâle IV (SA-OR) : calcul du capital réglementaire basé sur le Business Indicator</w:t>
      </w:r>
    </w:p>
    <w:p w14:paraId="4D4BBECF" w14:textId="77777777" w:rsidR="000E1F1B" w:rsidRDefault="00000000">
      <w:pPr>
        <w:pStyle w:val="Paragraphedeliste"/>
        <w:numPr>
          <w:ilvl w:val="0"/>
          <w:numId w:val="2"/>
        </w:numPr>
        <w:spacing w:before="40" w:after="40"/>
      </w:pPr>
      <w:r>
        <w:rPr>
          <w:color w:val="333333"/>
        </w:rPr>
        <w:t>Modèle de distribution des pertes (LDA) : distribution de fréquence × distribution de sévérité</w:t>
      </w:r>
    </w:p>
    <w:p w14:paraId="6DE3F5BF" w14:textId="77777777" w:rsidR="000E1F1B" w:rsidRDefault="00000000">
      <w:pPr>
        <w:pStyle w:val="Paragraphedeliste"/>
        <w:numPr>
          <w:ilvl w:val="0"/>
          <w:numId w:val="2"/>
        </w:numPr>
        <w:spacing w:before="40" w:after="40"/>
      </w:pPr>
      <w:r>
        <w:rPr>
          <w:color w:val="333333"/>
        </w:rPr>
        <w:t>Simulation Monte Carlo pour l'agrégation et le calcul du capital économique</w:t>
      </w:r>
    </w:p>
    <w:p w14:paraId="5D578577" w14:textId="77777777" w:rsidR="000E1F1B" w:rsidRDefault="00000000">
      <w:pPr>
        <w:pStyle w:val="Paragraphedeliste"/>
        <w:numPr>
          <w:ilvl w:val="0"/>
          <w:numId w:val="2"/>
        </w:numPr>
        <w:spacing w:before="40" w:after="40"/>
      </w:pPr>
      <w:r>
        <w:rPr>
          <w:color w:val="333333"/>
        </w:rPr>
        <w:t>Analyse de scénarios : estimation des pertes liées à des événements extrêmes rares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61380EF6" w14:textId="77777777">
        <w:tc>
          <w:tcPr>
            <w:tcW w:w="9360" w:type="dxa"/>
            <w:tcBorders>
              <w:top w:val="single" w:sz="4" w:space="0" w:color="BA7517"/>
              <w:left w:val="single" w:sz="12" w:space="0" w:color="BA7517"/>
              <w:bottom w:val="none" w:sz="0" w:space="0" w:color="FFFFFF"/>
              <w:right w:val="none" w:sz="0" w:space="0" w:color="FFFFFF"/>
            </w:tcBorders>
            <w:shd w:val="clear" w:color="auto" w:fill="FAEEDA"/>
            <w:tcMar>
              <w:top w:w="120" w:type="dxa"/>
              <w:left w:w="200" w:type="dxa"/>
              <w:bottom w:w="120" w:type="dxa"/>
              <w:right w:w="200" w:type="dxa"/>
            </w:tcMar>
          </w:tcPr>
          <w:p w14:paraId="01A8016C" w14:textId="77777777" w:rsidR="000E1F1B" w:rsidRDefault="00000000">
            <w:pPr>
              <w:spacing w:after="60"/>
            </w:pPr>
            <w:r>
              <w:rPr>
                <w:b/>
                <w:bCs/>
                <w:color w:val="3C3489"/>
                <w:sz w:val="20"/>
                <w:szCs w:val="20"/>
              </w:rPr>
              <w:t>Livrables — Risque opérationnel</w:t>
            </w:r>
          </w:p>
          <w:p w14:paraId="254B41E3" w14:textId="77777777" w:rsidR="000E1F1B" w:rsidRDefault="00000000">
            <w:pPr>
              <w:spacing w:before="20" w:after="20"/>
            </w:pPr>
            <w:r>
              <w:rPr>
                <w:color w:val="444444"/>
                <w:sz w:val="19"/>
                <w:szCs w:val="19"/>
              </w:rPr>
              <w:t>• Cartographie complète des risques opérationnels (</w:t>
            </w:r>
            <w:proofErr w:type="spellStart"/>
            <w:r>
              <w:rPr>
                <w:color w:val="444444"/>
                <w:sz w:val="19"/>
                <w:szCs w:val="19"/>
              </w:rPr>
              <w:t>heatmap</w:t>
            </w:r>
            <w:proofErr w:type="spellEnd"/>
            <w:r>
              <w:rPr>
                <w:color w:val="444444"/>
                <w:sz w:val="19"/>
                <w:szCs w:val="19"/>
              </w:rPr>
              <w:t xml:space="preserve"> + registre)</w:t>
            </w:r>
          </w:p>
          <w:p w14:paraId="532B570A" w14:textId="77777777" w:rsidR="000E1F1B" w:rsidRDefault="00000000">
            <w:pPr>
              <w:spacing w:before="20" w:after="20"/>
            </w:pPr>
            <w:r>
              <w:rPr>
                <w:color w:val="444444"/>
                <w:sz w:val="19"/>
                <w:szCs w:val="19"/>
              </w:rPr>
              <w:t>• Base de données des incidents opérationnels et rapport d'analyse</w:t>
            </w:r>
          </w:p>
          <w:p w14:paraId="40B6FB1A" w14:textId="77777777" w:rsidR="000E1F1B" w:rsidRDefault="00000000">
            <w:pPr>
              <w:spacing w:before="20" w:after="20"/>
            </w:pPr>
            <w:r>
              <w:rPr>
                <w:color w:val="444444"/>
                <w:sz w:val="19"/>
                <w:szCs w:val="19"/>
              </w:rPr>
              <w:t>• Calcul du capital réglementaire SA-OR (Bâle IV)</w:t>
            </w:r>
          </w:p>
          <w:p w14:paraId="46CBFC25" w14:textId="77777777" w:rsidR="000E1F1B" w:rsidRDefault="00000000">
            <w:pPr>
              <w:spacing w:before="20" w:after="20"/>
            </w:pPr>
            <w:r>
              <w:rPr>
                <w:color w:val="444444"/>
                <w:sz w:val="19"/>
                <w:szCs w:val="19"/>
              </w:rPr>
              <w:t>• Rapport d'analyse de scénarios extrêmes</w:t>
            </w:r>
          </w:p>
          <w:p w14:paraId="1A950045" w14:textId="77777777" w:rsidR="000E1F1B" w:rsidRDefault="00000000">
            <w:pPr>
              <w:spacing w:before="20" w:after="20"/>
            </w:pPr>
            <w:r>
              <w:rPr>
                <w:color w:val="444444"/>
                <w:sz w:val="19"/>
                <w:szCs w:val="19"/>
              </w:rPr>
              <w:t>• Plan d'action de réduction des risques prioritaires</w:t>
            </w:r>
          </w:p>
        </w:tc>
      </w:tr>
    </w:tbl>
    <w:p w14:paraId="3EA2E08A" w14:textId="77777777" w:rsidR="000E1F1B" w:rsidRDefault="000E1F1B"/>
    <w:p w14:paraId="098CDA90" w14:textId="77777777" w:rsidR="000E1F1B" w:rsidRDefault="00000000">
      <w:pPr>
        <w:pStyle w:val="Titre2"/>
      </w:pPr>
      <w:r>
        <w:t>3.2 — Plan de continuité d'activité (PCA / BCP)</w:t>
      </w:r>
    </w:p>
    <w:p w14:paraId="7BA98446" w14:textId="77777777" w:rsidR="000E1F1B" w:rsidRDefault="00000000">
      <w:pPr>
        <w:spacing w:before="60" w:after="60"/>
      </w:pPr>
      <w:r>
        <w:rPr>
          <w:color w:val="333333"/>
        </w:rPr>
        <w:t>Le Plan de Continuité d'Activité (PCA) garantit que l'organisation peut maintenir ses fonctions critiques en cas de crise majeure. C'est une exigence réglementaire croissante en Afrique francophone.</w:t>
      </w:r>
    </w:p>
    <w:p w14:paraId="314479F3" w14:textId="77777777" w:rsidR="000E1F1B" w:rsidRDefault="00000000">
      <w:pPr>
        <w:pStyle w:val="Paragraphedeliste"/>
        <w:numPr>
          <w:ilvl w:val="0"/>
          <w:numId w:val="2"/>
        </w:numPr>
        <w:spacing w:before="40" w:after="40"/>
      </w:pPr>
      <w:r>
        <w:rPr>
          <w:color w:val="333333"/>
        </w:rPr>
        <w:lastRenderedPageBreak/>
        <w:t xml:space="preserve">Analyse d'impact sur l'activité (BIA — Business Impact </w:t>
      </w:r>
      <w:proofErr w:type="spellStart"/>
      <w:r>
        <w:rPr>
          <w:color w:val="333333"/>
        </w:rPr>
        <w:t>Analysis</w:t>
      </w:r>
      <w:proofErr w:type="spellEnd"/>
      <w:r>
        <w:rPr>
          <w:color w:val="333333"/>
        </w:rPr>
        <w:t xml:space="preserve">) : identification des processus critiques et </w:t>
      </w:r>
      <w:proofErr w:type="gramStart"/>
      <w:r>
        <w:rPr>
          <w:color w:val="333333"/>
        </w:rPr>
        <w:t>des délais maximum</w:t>
      </w:r>
      <w:proofErr w:type="gramEnd"/>
      <w:r>
        <w:rPr>
          <w:color w:val="333333"/>
        </w:rPr>
        <w:t xml:space="preserve"> d'interruption acceptables (RTO/RPO)</w:t>
      </w:r>
    </w:p>
    <w:p w14:paraId="2B073752" w14:textId="77777777" w:rsidR="000E1F1B" w:rsidRDefault="00000000">
      <w:pPr>
        <w:pStyle w:val="Paragraphedeliste"/>
        <w:numPr>
          <w:ilvl w:val="0"/>
          <w:numId w:val="2"/>
        </w:numPr>
        <w:spacing w:before="40" w:after="40"/>
      </w:pPr>
      <w:r>
        <w:rPr>
          <w:color w:val="333333"/>
        </w:rPr>
        <w:t>Identification des menaces : pannes IT, catastrophes naturelles (inondations, sécheresse), mouvements sociaux, cyber-attaques</w:t>
      </w:r>
    </w:p>
    <w:p w14:paraId="4EE208AC" w14:textId="77777777" w:rsidR="000E1F1B" w:rsidRDefault="00000000">
      <w:pPr>
        <w:pStyle w:val="Paragraphedeliste"/>
        <w:numPr>
          <w:ilvl w:val="0"/>
          <w:numId w:val="2"/>
        </w:numPr>
        <w:spacing w:before="40" w:after="40"/>
      </w:pPr>
      <w:r>
        <w:rPr>
          <w:color w:val="333333"/>
        </w:rPr>
        <w:t>Conception des stratégies de continuité : site de repli, télétravail, fournisseurs alternatifs</w:t>
      </w:r>
    </w:p>
    <w:p w14:paraId="50739E0D" w14:textId="77777777" w:rsidR="000E1F1B" w:rsidRDefault="00000000">
      <w:pPr>
        <w:pStyle w:val="Paragraphedeliste"/>
        <w:numPr>
          <w:ilvl w:val="0"/>
          <w:numId w:val="2"/>
        </w:numPr>
        <w:spacing w:before="40" w:after="40"/>
      </w:pPr>
      <w:r>
        <w:rPr>
          <w:color w:val="333333"/>
        </w:rPr>
        <w:t>Rédaction du plan documenté et formation des équipes</w:t>
      </w:r>
    </w:p>
    <w:p w14:paraId="7E834451" w14:textId="77777777" w:rsidR="000E1F1B" w:rsidRDefault="00000000">
      <w:pPr>
        <w:pStyle w:val="Paragraphedeliste"/>
        <w:numPr>
          <w:ilvl w:val="0"/>
          <w:numId w:val="2"/>
        </w:numPr>
        <w:spacing w:before="40" w:after="40"/>
      </w:pPr>
      <w:r>
        <w:rPr>
          <w:color w:val="333333"/>
        </w:rPr>
        <w:t>Tests et exercices de simulation annuels</w:t>
      </w:r>
    </w:p>
    <w:p w14:paraId="0CE0D156" w14:textId="77777777" w:rsidR="000E1F1B" w:rsidRDefault="000E1F1B"/>
    <w:p w14:paraId="27CB981A" w14:textId="77777777" w:rsidR="000E1F1B" w:rsidRDefault="00000000">
      <w:pPr>
        <w:pStyle w:val="Titre2"/>
      </w:pPr>
      <w:r>
        <w:t>3.3 — Risque ESG &amp; transition climatique</w:t>
      </w:r>
    </w:p>
    <w:p w14:paraId="4896D857" w14:textId="77777777" w:rsidR="000E1F1B" w:rsidRDefault="00000000">
      <w:pPr>
        <w:spacing w:before="60" w:after="60"/>
      </w:pPr>
      <w:r>
        <w:rPr>
          <w:color w:val="333333"/>
        </w:rPr>
        <w:t>Les risques ESG représentent le nouveau front de la gestion des risques financiers. Sous la pression des régulateurs (BCE, BCEAO), des bailleurs (BAD, IFC, Banque Mondiale) et des investisseurs, les institutions africaines doivent intégrer ces risques dans leur dispositif prudentiel.</w:t>
      </w:r>
    </w:p>
    <w:p w14:paraId="5DF6529A" w14:textId="77777777" w:rsidR="000E1F1B" w:rsidRDefault="00000000">
      <w:pPr>
        <w:spacing w:before="180" w:after="60"/>
      </w:pPr>
      <w:r>
        <w:rPr>
          <w:b/>
          <w:bCs/>
          <w:color w:val="534AB7"/>
          <w:sz w:val="22"/>
          <w:szCs w:val="22"/>
        </w:rPr>
        <w:t>Risques climatiques physiques</w:t>
      </w:r>
    </w:p>
    <w:p w14:paraId="4DCBC559" w14:textId="77777777" w:rsidR="000E1F1B" w:rsidRDefault="00000000">
      <w:pPr>
        <w:pStyle w:val="Paragraphedeliste"/>
        <w:numPr>
          <w:ilvl w:val="0"/>
          <w:numId w:val="2"/>
        </w:numPr>
        <w:spacing w:before="40" w:after="40"/>
      </w:pPr>
      <w:r>
        <w:rPr>
          <w:color w:val="333333"/>
        </w:rPr>
        <w:t>Risques aigus : cyclones, inondations, sécheresses, vagues de chaleur — impact direct sur les portefeuilles de crédit agricole et immobilier</w:t>
      </w:r>
    </w:p>
    <w:p w14:paraId="1D5EB449" w14:textId="77777777" w:rsidR="000E1F1B" w:rsidRDefault="00000000">
      <w:pPr>
        <w:pStyle w:val="Paragraphedeliste"/>
        <w:numPr>
          <w:ilvl w:val="0"/>
          <w:numId w:val="2"/>
        </w:numPr>
        <w:spacing w:before="40" w:after="40"/>
      </w:pPr>
      <w:r>
        <w:rPr>
          <w:color w:val="333333"/>
        </w:rPr>
        <w:t>Risques chroniques : élévation des températures, modification des régimes pluviométriques — impact sur les actifs à long terme</w:t>
      </w:r>
    </w:p>
    <w:p w14:paraId="55371CE6" w14:textId="77777777" w:rsidR="000E1F1B" w:rsidRDefault="00000000">
      <w:pPr>
        <w:pStyle w:val="Paragraphedeliste"/>
        <w:numPr>
          <w:ilvl w:val="0"/>
          <w:numId w:val="2"/>
        </w:numPr>
        <w:spacing w:before="40" w:after="40"/>
      </w:pPr>
      <w:r>
        <w:rPr>
          <w:color w:val="333333"/>
        </w:rPr>
        <w:t>Cartographie de l'exposition géographique du portefeuille aux aléas climatiques</w:t>
      </w:r>
    </w:p>
    <w:p w14:paraId="3E5C8F3A" w14:textId="77777777" w:rsidR="000E1F1B" w:rsidRDefault="00000000">
      <w:pPr>
        <w:pStyle w:val="Paragraphedeliste"/>
        <w:numPr>
          <w:ilvl w:val="0"/>
          <w:numId w:val="2"/>
        </w:numPr>
        <w:spacing w:before="40" w:after="40"/>
      </w:pPr>
      <w:r>
        <w:rPr>
          <w:color w:val="333333"/>
        </w:rPr>
        <w:t>Stress tests climatiques physiques : perte estimée sur le portefeuille de crédit en cas de catastrophe</w:t>
      </w:r>
    </w:p>
    <w:p w14:paraId="7FEF7E95" w14:textId="77777777" w:rsidR="000E1F1B" w:rsidRDefault="00000000">
      <w:pPr>
        <w:spacing w:before="180" w:after="60"/>
      </w:pPr>
      <w:r>
        <w:rPr>
          <w:b/>
          <w:bCs/>
          <w:color w:val="534AB7"/>
          <w:sz w:val="22"/>
          <w:szCs w:val="22"/>
        </w:rPr>
        <w:t>Risques de transition</w:t>
      </w:r>
    </w:p>
    <w:p w14:paraId="21D80428" w14:textId="77777777" w:rsidR="000E1F1B" w:rsidRDefault="00000000">
      <w:pPr>
        <w:pStyle w:val="Paragraphedeliste"/>
        <w:numPr>
          <w:ilvl w:val="0"/>
          <w:numId w:val="2"/>
        </w:numPr>
        <w:spacing w:before="40" w:after="40"/>
      </w:pPr>
      <w:r>
        <w:rPr>
          <w:color w:val="333333"/>
        </w:rPr>
        <w:t>Risques réglementaires : nouvelles normes environnementales, taxe carbone, interdiction de certaines activités</w:t>
      </w:r>
    </w:p>
    <w:p w14:paraId="772426E7" w14:textId="77777777" w:rsidR="000E1F1B" w:rsidRDefault="00000000">
      <w:pPr>
        <w:pStyle w:val="Paragraphedeliste"/>
        <w:numPr>
          <w:ilvl w:val="0"/>
          <w:numId w:val="2"/>
        </w:numPr>
        <w:spacing w:before="40" w:after="40"/>
      </w:pPr>
      <w:r>
        <w:rPr>
          <w:color w:val="333333"/>
        </w:rPr>
        <w:t>Risques technologiques : obsolescence des technologies polluantes, transition vers les énergies renouvelables</w:t>
      </w:r>
    </w:p>
    <w:p w14:paraId="40F56AD9" w14:textId="77777777" w:rsidR="000E1F1B" w:rsidRDefault="00000000">
      <w:pPr>
        <w:pStyle w:val="Paragraphedeliste"/>
        <w:numPr>
          <w:ilvl w:val="0"/>
          <w:numId w:val="2"/>
        </w:numPr>
        <w:spacing w:before="40" w:after="40"/>
      </w:pPr>
      <w:r>
        <w:rPr>
          <w:color w:val="333333"/>
        </w:rPr>
        <w:t>Risques de marché : dépréciation des actifs carbonés (</w:t>
      </w:r>
      <w:proofErr w:type="spellStart"/>
      <w:r>
        <w:rPr>
          <w:color w:val="333333"/>
        </w:rPr>
        <w:t>stranded</w:t>
      </w:r>
      <w:proofErr w:type="spellEnd"/>
      <w:r>
        <w:rPr>
          <w:color w:val="333333"/>
        </w:rPr>
        <w:t xml:space="preserve"> assets)</w:t>
      </w:r>
    </w:p>
    <w:p w14:paraId="2210D549" w14:textId="77777777" w:rsidR="000E1F1B" w:rsidRDefault="00000000">
      <w:pPr>
        <w:pStyle w:val="Paragraphedeliste"/>
        <w:numPr>
          <w:ilvl w:val="0"/>
          <w:numId w:val="2"/>
        </w:numPr>
        <w:spacing w:before="40" w:after="40"/>
      </w:pPr>
      <w:r>
        <w:rPr>
          <w:color w:val="333333"/>
        </w:rPr>
        <w:t>Exposition du portefeuille aux secteurs à fort risque de transition : mines, pétrole, agriculture intensive</w:t>
      </w:r>
    </w:p>
    <w:p w14:paraId="7AD30BCF" w14:textId="77777777" w:rsidR="000E1F1B" w:rsidRDefault="00000000">
      <w:pPr>
        <w:spacing w:before="180" w:after="60"/>
      </w:pPr>
      <w:proofErr w:type="spellStart"/>
      <w:r>
        <w:rPr>
          <w:b/>
          <w:bCs/>
          <w:color w:val="534AB7"/>
          <w:sz w:val="22"/>
          <w:szCs w:val="22"/>
        </w:rPr>
        <w:t>Scoring</w:t>
      </w:r>
      <w:proofErr w:type="spellEnd"/>
      <w:r>
        <w:rPr>
          <w:b/>
          <w:bCs/>
          <w:color w:val="534AB7"/>
          <w:sz w:val="22"/>
          <w:szCs w:val="22"/>
        </w:rPr>
        <w:t xml:space="preserve"> ESG quantitatif</w:t>
      </w:r>
    </w:p>
    <w:p w14:paraId="0D79108B" w14:textId="77777777" w:rsidR="000E1F1B" w:rsidRDefault="00000000">
      <w:pPr>
        <w:pStyle w:val="Paragraphedeliste"/>
        <w:numPr>
          <w:ilvl w:val="0"/>
          <w:numId w:val="2"/>
        </w:numPr>
        <w:spacing w:before="40" w:after="40"/>
      </w:pPr>
      <w:r>
        <w:rPr>
          <w:color w:val="333333"/>
        </w:rPr>
        <w:t xml:space="preserve">Construction d'un score ESG multicritère pour les contreparties </w:t>
      </w:r>
      <w:proofErr w:type="spellStart"/>
      <w:r>
        <w:rPr>
          <w:color w:val="333333"/>
        </w:rPr>
        <w:t>corporate</w:t>
      </w:r>
      <w:proofErr w:type="spellEnd"/>
    </w:p>
    <w:p w14:paraId="787C6036" w14:textId="77777777" w:rsidR="000E1F1B" w:rsidRDefault="00000000">
      <w:pPr>
        <w:pStyle w:val="Paragraphedeliste"/>
        <w:numPr>
          <w:ilvl w:val="0"/>
          <w:numId w:val="2"/>
        </w:numPr>
        <w:spacing w:before="40" w:after="40"/>
      </w:pPr>
      <w:r>
        <w:rPr>
          <w:color w:val="333333"/>
        </w:rPr>
        <w:t>Intégration du score ESG dans la notation de crédit et la tarification des prêts</w:t>
      </w:r>
    </w:p>
    <w:p w14:paraId="5683EEE7" w14:textId="77777777" w:rsidR="000E1F1B" w:rsidRDefault="00000000">
      <w:pPr>
        <w:pStyle w:val="Paragraphedeliste"/>
        <w:numPr>
          <w:ilvl w:val="0"/>
          <w:numId w:val="2"/>
        </w:numPr>
        <w:spacing w:before="40" w:after="40"/>
      </w:pPr>
      <w:r>
        <w:rPr>
          <w:color w:val="333333"/>
        </w:rPr>
        <w:t>Suivi du verdissement du portefeuille (Green Asset Ratio — GAR)</w:t>
      </w:r>
    </w:p>
    <w:p w14:paraId="1E70F45A" w14:textId="77777777" w:rsidR="000E1F1B" w:rsidRDefault="00000000">
      <w:pPr>
        <w:pStyle w:val="Paragraphedeliste"/>
        <w:numPr>
          <w:ilvl w:val="0"/>
          <w:numId w:val="2"/>
        </w:numPr>
        <w:spacing w:before="40" w:after="40"/>
      </w:pPr>
      <w:proofErr w:type="spellStart"/>
      <w:r>
        <w:rPr>
          <w:color w:val="333333"/>
        </w:rPr>
        <w:t>Reporting</w:t>
      </w:r>
      <w:proofErr w:type="spellEnd"/>
      <w:r>
        <w:rPr>
          <w:color w:val="333333"/>
        </w:rPr>
        <w:t xml:space="preserve"> ESG conforme TCFD (</w:t>
      </w:r>
      <w:proofErr w:type="spellStart"/>
      <w:r>
        <w:rPr>
          <w:color w:val="333333"/>
        </w:rPr>
        <w:t>Task</w:t>
      </w:r>
      <w:proofErr w:type="spellEnd"/>
      <w:r>
        <w:rPr>
          <w:color w:val="333333"/>
        </w:rPr>
        <w:t xml:space="preserve"> Force on </w:t>
      </w:r>
      <w:proofErr w:type="spellStart"/>
      <w:r>
        <w:rPr>
          <w:color w:val="333333"/>
        </w:rPr>
        <w:t>Climate-related</w:t>
      </w:r>
      <w:proofErr w:type="spellEnd"/>
      <w:r>
        <w:rPr>
          <w:color w:val="333333"/>
        </w:rPr>
        <w:t xml:space="preserve"> Financial </w:t>
      </w:r>
      <w:proofErr w:type="spellStart"/>
      <w:r>
        <w:rPr>
          <w:color w:val="333333"/>
        </w:rPr>
        <w:t>Disclosures</w:t>
      </w:r>
      <w:proofErr w:type="spellEnd"/>
      <w:r>
        <w:rPr>
          <w:color w:val="333333"/>
        </w:rPr>
        <w:t>)</w:t>
      </w:r>
    </w:p>
    <w:p w14:paraId="6E5AF1C4" w14:textId="77777777" w:rsidR="000E1F1B" w:rsidRDefault="00000000">
      <w:pPr>
        <w:pStyle w:val="Paragraphedeliste"/>
        <w:numPr>
          <w:ilvl w:val="0"/>
          <w:numId w:val="2"/>
        </w:numPr>
        <w:spacing w:before="40" w:after="40"/>
      </w:pPr>
      <w:r>
        <w:rPr>
          <w:color w:val="333333"/>
        </w:rPr>
        <w:t>Préparation à la réglementation CSRD (</w:t>
      </w:r>
      <w:proofErr w:type="spellStart"/>
      <w:r>
        <w:rPr>
          <w:color w:val="333333"/>
        </w:rPr>
        <w:t>Corporate</w:t>
      </w:r>
      <w:proofErr w:type="spellEnd"/>
      <w:r>
        <w:rPr>
          <w:color w:val="333333"/>
        </w:rPr>
        <w:t xml:space="preserve"> </w:t>
      </w:r>
      <w:proofErr w:type="spellStart"/>
      <w:r>
        <w:rPr>
          <w:color w:val="333333"/>
        </w:rPr>
        <w:t>Sustainability</w:t>
      </w:r>
      <w:proofErr w:type="spellEnd"/>
      <w:r>
        <w:rPr>
          <w:color w:val="333333"/>
        </w:rPr>
        <w:t xml:space="preserve"> </w:t>
      </w:r>
      <w:proofErr w:type="spellStart"/>
      <w:r>
        <w:rPr>
          <w:color w:val="333333"/>
        </w:rPr>
        <w:t>Reporting</w:t>
      </w:r>
      <w:proofErr w:type="spellEnd"/>
      <w:r>
        <w:rPr>
          <w:color w:val="333333"/>
        </w:rPr>
        <w:t xml:space="preserve"> Directive)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18B9A671" w14:textId="77777777">
        <w:tc>
          <w:tcPr>
            <w:tcW w:w="9360" w:type="dxa"/>
            <w:tcBorders>
              <w:top w:val="single" w:sz="4" w:space="0" w:color="BA7517"/>
              <w:left w:val="single" w:sz="12" w:space="0" w:color="BA7517"/>
              <w:bottom w:val="none" w:sz="0" w:space="0" w:color="FFFFFF"/>
              <w:right w:val="none" w:sz="0" w:space="0" w:color="FFFFFF"/>
            </w:tcBorders>
            <w:shd w:val="clear" w:color="auto" w:fill="FAEEDA"/>
            <w:tcMar>
              <w:top w:w="120" w:type="dxa"/>
              <w:left w:w="200" w:type="dxa"/>
              <w:bottom w:w="120" w:type="dxa"/>
              <w:right w:w="200" w:type="dxa"/>
            </w:tcMar>
          </w:tcPr>
          <w:p w14:paraId="31F9DA93" w14:textId="77777777" w:rsidR="000E1F1B" w:rsidRDefault="00000000">
            <w:pPr>
              <w:spacing w:after="60"/>
            </w:pPr>
            <w:r>
              <w:rPr>
                <w:b/>
                <w:bCs/>
                <w:color w:val="3C3489"/>
                <w:sz w:val="20"/>
                <w:szCs w:val="20"/>
              </w:rPr>
              <w:t>Livrables — Risque ESG &amp; climatique</w:t>
            </w:r>
          </w:p>
          <w:p w14:paraId="5943024E" w14:textId="77777777" w:rsidR="000E1F1B" w:rsidRDefault="00000000">
            <w:pPr>
              <w:spacing w:before="20" w:after="20"/>
            </w:pPr>
            <w:r>
              <w:rPr>
                <w:color w:val="444444"/>
                <w:sz w:val="19"/>
                <w:szCs w:val="19"/>
              </w:rPr>
              <w:t>• Rapport d'exposition du portefeuille aux risques climatiques physiques et de transition</w:t>
            </w:r>
          </w:p>
          <w:p w14:paraId="7ABC606B" w14:textId="77777777" w:rsidR="000E1F1B" w:rsidRDefault="00000000">
            <w:pPr>
              <w:spacing w:before="20" w:after="20"/>
            </w:pPr>
            <w:r>
              <w:rPr>
                <w:color w:val="444444"/>
                <w:sz w:val="19"/>
                <w:szCs w:val="19"/>
              </w:rPr>
              <w:t>• Stress tests climatiques documentés (scénarios GIEC / NGFS)</w:t>
            </w:r>
          </w:p>
          <w:p w14:paraId="27CBF344" w14:textId="77777777" w:rsidR="000E1F1B" w:rsidRDefault="00000000">
            <w:pPr>
              <w:spacing w:before="20" w:after="20"/>
            </w:pPr>
            <w:r>
              <w:rPr>
                <w:color w:val="444444"/>
                <w:sz w:val="19"/>
                <w:szCs w:val="19"/>
              </w:rPr>
              <w:t xml:space="preserve">• </w:t>
            </w:r>
            <w:proofErr w:type="spellStart"/>
            <w:r>
              <w:rPr>
                <w:color w:val="444444"/>
                <w:sz w:val="19"/>
                <w:szCs w:val="19"/>
              </w:rPr>
              <w:t>Scorecard</w:t>
            </w:r>
            <w:proofErr w:type="spellEnd"/>
            <w:r>
              <w:rPr>
                <w:color w:val="444444"/>
                <w:sz w:val="19"/>
                <w:szCs w:val="19"/>
              </w:rPr>
              <w:t xml:space="preserve"> ESG pour les contreparties </w:t>
            </w:r>
            <w:proofErr w:type="spellStart"/>
            <w:r>
              <w:rPr>
                <w:color w:val="444444"/>
                <w:sz w:val="19"/>
                <w:szCs w:val="19"/>
              </w:rPr>
              <w:t>corporate</w:t>
            </w:r>
            <w:proofErr w:type="spellEnd"/>
          </w:p>
          <w:p w14:paraId="56403E0F" w14:textId="77777777" w:rsidR="000E1F1B" w:rsidRDefault="00000000">
            <w:pPr>
              <w:spacing w:before="20" w:after="20"/>
            </w:pPr>
            <w:r>
              <w:rPr>
                <w:color w:val="444444"/>
                <w:sz w:val="19"/>
                <w:szCs w:val="19"/>
              </w:rPr>
              <w:t>• Rapport de conformité TCFD</w:t>
            </w:r>
          </w:p>
          <w:p w14:paraId="7999B4CA" w14:textId="77777777" w:rsidR="000E1F1B" w:rsidRDefault="00000000">
            <w:pPr>
              <w:spacing w:before="20" w:after="20"/>
            </w:pPr>
            <w:r>
              <w:rPr>
                <w:color w:val="444444"/>
                <w:sz w:val="19"/>
                <w:szCs w:val="19"/>
              </w:rPr>
              <w:t>• Feuille de route vers l'intégration ESG dans le dispositif de risque</w:t>
            </w:r>
          </w:p>
        </w:tc>
      </w:tr>
    </w:tbl>
    <w:p w14:paraId="2532F6AC" w14:textId="77777777" w:rsidR="000E1F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1995FA2C" w14:textId="77777777">
        <w:tc>
          <w:tcPr>
            <w:tcW w:w="9360" w:type="dxa"/>
            <w:tcBorders>
              <w:top w:val="none" w:sz="0" w:space="0" w:color="FFFFFF"/>
              <w:left w:val="none" w:sz="0" w:space="0" w:color="FFFFFF"/>
              <w:bottom w:val="none" w:sz="0" w:space="0" w:color="FFFFFF"/>
              <w:right w:val="none" w:sz="0" w:space="0" w:color="FFFFFF"/>
            </w:tcBorders>
            <w:shd w:val="clear" w:color="auto" w:fill="378ADD"/>
            <w:tcMar>
              <w:top w:w="200" w:type="dxa"/>
              <w:left w:w="300" w:type="dxa"/>
              <w:bottom w:w="200" w:type="dxa"/>
              <w:right w:w="300" w:type="dxa"/>
            </w:tcMar>
          </w:tcPr>
          <w:p w14:paraId="2F2DF21D" w14:textId="77777777" w:rsidR="000E1F1B" w:rsidRDefault="00000000">
            <w:r>
              <w:rPr>
                <w:color w:val="FFFFFF"/>
                <w:sz w:val="18"/>
                <w:szCs w:val="18"/>
              </w:rPr>
              <w:lastRenderedPageBreak/>
              <w:t>PÔLE 4</w:t>
            </w:r>
          </w:p>
          <w:p w14:paraId="10ADFCE8" w14:textId="77777777" w:rsidR="000E1F1B" w:rsidRDefault="00000000">
            <w:r>
              <w:rPr>
                <w:b/>
                <w:bCs/>
                <w:color w:val="FFFFFF"/>
                <w:sz w:val="40"/>
                <w:szCs w:val="40"/>
              </w:rPr>
              <w:t>Validation de modèles (MRM)</w:t>
            </w:r>
          </w:p>
          <w:p w14:paraId="7DCC16DC" w14:textId="77777777" w:rsidR="000E1F1B" w:rsidRDefault="00000000">
            <w:r>
              <w:rPr>
                <w:i/>
                <w:iCs/>
                <w:color w:val="FFFFFF"/>
                <w:sz w:val="22"/>
                <w:szCs w:val="22"/>
              </w:rPr>
              <w:t>Audit · Back-</w:t>
            </w:r>
            <w:proofErr w:type="spellStart"/>
            <w:r>
              <w:rPr>
                <w:i/>
                <w:iCs/>
                <w:color w:val="FFFFFF"/>
                <w:sz w:val="22"/>
                <w:szCs w:val="22"/>
              </w:rPr>
              <w:t>testing</w:t>
            </w:r>
            <w:proofErr w:type="spellEnd"/>
            <w:r>
              <w:rPr>
                <w:i/>
                <w:iCs/>
                <w:color w:val="FFFFFF"/>
                <w:sz w:val="22"/>
                <w:szCs w:val="22"/>
              </w:rPr>
              <w:t xml:space="preserve"> · Gouvernance des modèles</w:t>
            </w:r>
          </w:p>
        </w:tc>
      </w:tr>
    </w:tbl>
    <w:p w14:paraId="29AB3464" w14:textId="77777777" w:rsidR="000E1F1B" w:rsidRDefault="000E1F1B"/>
    <w:p w14:paraId="2805A1F8" w14:textId="77777777" w:rsidR="000E1F1B" w:rsidRDefault="00000000">
      <w:pPr>
        <w:pStyle w:val="Titre2"/>
      </w:pPr>
      <w:r>
        <w:t>Présentation générale</w:t>
      </w:r>
    </w:p>
    <w:p w14:paraId="7B235F10" w14:textId="77777777" w:rsidR="000E1F1B" w:rsidRDefault="00000000">
      <w:pPr>
        <w:spacing w:before="60" w:after="60"/>
      </w:pPr>
      <w:r>
        <w:rPr>
          <w:color w:val="333333"/>
        </w:rPr>
        <w:t>Le Model Risk Management (MRM) est la discipline qui consiste à identifier, mesurer, gérer et atténuer les risques liés à l'utilisation de modèles mathématiques et statistiques dans les décisions financières. Un modèle mal conçu, mal calibré ou utilisé en dehors de son domaine de validité peut engendrer des pertes considérables.</w:t>
      </w:r>
    </w:p>
    <w:p w14:paraId="1702DCF4" w14:textId="77777777" w:rsidR="000E1F1B" w:rsidRDefault="00000000">
      <w:pPr>
        <w:spacing w:before="60" w:after="60"/>
      </w:pPr>
      <w:r>
        <w:rPr>
          <w:color w:val="333333"/>
        </w:rPr>
        <w:t xml:space="preserve">La demande en MRM est en forte croissance en Afrique francophone, portée par les exigences des régulateurs locaux (BCEAO, COBAC), des banques </w:t>
      </w:r>
      <w:proofErr w:type="spellStart"/>
      <w:r>
        <w:rPr>
          <w:color w:val="333333"/>
        </w:rPr>
        <w:t>centratrices</w:t>
      </w:r>
      <w:proofErr w:type="spellEnd"/>
      <w:r>
        <w:rPr>
          <w:color w:val="333333"/>
        </w:rPr>
        <w:t xml:space="preserve"> européennes pour leurs filiales africaines, et des auditeurs externes exigeant une validation indépendante.</w:t>
      </w:r>
    </w:p>
    <w:p w14:paraId="63E34518" w14:textId="77777777" w:rsidR="000E1F1B" w:rsidRDefault="000E1F1B"/>
    <w:p w14:paraId="20DE9C5C" w14:textId="77777777" w:rsidR="000E1F1B" w:rsidRDefault="00000000">
      <w:pPr>
        <w:pStyle w:val="Titre2"/>
      </w:pPr>
      <w:r>
        <w:t>4.1 — Inventaire &amp; classification des modèles</w:t>
      </w:r>
    </w:p>
    <w:p w14:paraId="17214BD1" w14:textId="77777777" w:rsidR="000E1F1B" w:rsidRDefault="00000000">
      <w:pPr>
        <w:spacing w:before="60" w:after="60"/>
      </w:pPr>
      <w:r>
        <w:rPr>
          <w:color w:val="333333"/>
        </w:rPr>
        <w:t>La première étape de tout dispositif MRM est de recenser l'ensemble des modèles utilisés par l'institution et de les classer par niveau de risque.</w:t>
      </w:r>
    </w:p>
    <w:p w14:paraId="736654F5" w14:textId="77777777" w:rsidR="000E1F1B" w:rsidRDefault="00000000">
      <w:pPr>
        <w:pStyle w:val="Paragraphedeliste"/>
        <w:numPr>
          <w:ilvl w:val="0"/>
          <w:numId w:val="2"/>
        </w:numPr>
        <w:spacing w:before="40" w:after="40"/>
      </w:pPr>
      <w:r>
        <w:rPr>
          <w:color w:val="333333"/>
        </w:rPr>
        <w:t xml:space="preserve">Recensement exhaustif : modèles de crédit, de marché, de liquidité, de </w:t>
      </w:r>
      <w:proofErr w:type="spellStart"/>
      <w:r>
        <w:rPr>
          <w:color w:val="333333"/>
        </w:rPr>
        <w:t>pricing</w:t>
      </w:r>
      <w:proofErr w:type="spellEnd"/>
      <w:r>
        <w:rPr>
          <w:color w:val="333333"/>
        </w:rPr>
        <w:t>, de provisionnement, de capital</w:t>
      </w:r>
    </w:p>
    <w:p w14:paraId="37D63882" w14:textId="77777777" w:rsidR="000E1F1B" w:rsidRDefault="00000000">
      <w:pPr>
        <w:pStyle w:val="Paragraphedeliste"/>
        <w:numPr>
          <w:ilvl w:val="0"/>
          <w:numId w:val="2"/>
        </w:numPr>
        <w:spacing w:before="40" w:after="40"/>
      </w:pPr>
      <w:r>
        <w:rPr>
          <w:color w:val="333333"/>
        </w:rPr>
        <w:t>Fiche d'identité de chaque modèle : objectif, données d'entrée, méthodologie, utilisateurs, fréquence d'utilisation</w:t>
      </w:r>
    </w:p>
    <w:p w14:paraId="3042B6A8" w14:textId="77777777" w:rsidR="000E1F1B" w:rsidRDefault="00000000">
      <w:pPr>
        <w:pStyle w:val="Paragraphedeliste"/>
        <w:numPr>
          <w:ilvl w:val="0"/>
          <w:numId w:val="2"/>
        </w:numPr>
        <w:spacing w:before="40" w:after="40"/>
      </w:pPr>
      <w:r>
        <w:rPr>
          <w:color w:val="333333"/>
        </w:rPr>
        <w:t>Matrice de criticité : impact potentiel d'une défaillance × complexité du modèle</w:t>
      </w:r>
    </w:p>
    <w:p w14:paraId="0A66264C" w14:textId="77777777" w:rsidR="000E1F1B" w:rsidRDefault="00000000">
      <w:pPr>
        <w:pStyle w:val="Paragraphedeliste"/>
        <w:numPr>
          <w:ilvl w:val="0"/>
          <w:numId w:val="2"/>
        </w:numPr>
        <w:spacing w:before="40" w:after="40"/>
      </w:pPr>
      <w:r>
        <w:rPr>
          <w:color w:val="333333"/>
        </w:rPr>
        <w:t>Calendrier de validation : priorisation selon la criticité et la date de dernière révision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1A705EB9" w14:textId="77777777">
        <w:tc>
          <w:tcPr>
            <w:tcW w:w="9360" w:type="dxa"/>
            <w:tcBorders>
              <w:top w:val="single" w:sz="4" w:space="0" w:color="378ADD"/>
              <w:left w:val="single" w:sz="12" w:space="0" w:color="378ADD"/>
              <w:bottom w:val="none" w:sz="0" w:space="0" w:color="FFFFFF"/>
              <w:right w:val="none" w:sz="0" w:space="0" w:color="FFFFFF"/>
            </w:tcBorders>
            <w:shd w:val="clear" w:color="auto" w:fill="E6F1FB"/>
            <w:tcMar>
              <w:top w:w="120" w:type="dxa"/>
              <w:left w:w="200" w:type="dxa"/>
              <w:bottom w:w="120" w:type="dxa"/>
              <w:right w:w="200" w:type="dxa"/>
            </w:tcMar>
          </w:tcPr>
          <w:p w14:paraId="0BD7EE3B" w14:textId="77777777" w:rsidR="000E1F1B" w:rsidRDefault="00000000">
            <w:pPr>
              <w:spacing w:after="60"/>
            </w:pPr>
            <w:r>
              <w:rPr>
                <w:b/>
                <w:bCs/>
                <w:color w:val="3C3489"/>
                <w:sz w:val="20"/>
                <w:szCs w:val="20"/>
              </w:rPr>
              <w:t>Pourquoi le MRM est critique en Afrique ?</w:t>
            </w:r>
          </w:p>
          <w:p w14:paraId="75DAFEE2" w14:textId="77777777" w:rsidR="000E1F1B" w:rsidRDefault="00000000">
            <w:pPr>
              <w:spacing w:before="20" w:after="20"/>
            </w:pPr>
            <w:r>
              <w:rPr>
                <w:color w:val="444444"/>
                <w:sz w:val="19"/>
                <w:szCs w:val="19"/>
              </w:rPr>
              <w:t>De nombreuses banques africaines utilisent des modèles développés par leurs maisons mères européennes,</w:t>
            </w:r>
          </w:p>
          <w:p w14:paraId="6D711FCE" w14:textId="77777777" w:rsidR="000E1F1B" w:rsidRDefault="00000000">
            <w:pPr>
              <w:spacing w:before="20" w:after="20"/>
            </w:pPr>
            <w:proofErr w:type="gramStart"/>
            <w:r>
              <w:rPr>
                <w:color w:val="444444"/>
                <w:sz w:val="19"/>
                <w:szCs w:val="19"/>
              </w:rPr>
              <w:t>non</w:t>
            </w:r>
            <w:proofErr w:type="gramEnd"/>
            <w:r>
              <w:rPr>
                <w:color w:val="444444"/>
                <w:sz w:val="19"/>
                <w:szCs w:val="19"/>
              </w:rPr>
              <w:t xml:space="preserve"> calibrés sur les données locales. Le risque de modèle est donc structurellement élevé :</w:t>
            </w:r>
          </w:p>
          <w:p w14:paraId="27DE1DD8" w14:textId="77777777" w:rsidR="000E1F1B" w:rsidRDefault="00000000">
            <w:pPr>
              <w:spacing w:before="20" w:after="20"/>
            </w:pPr>
            <w:proofErr w:type="gramStart"/>
            <w:r>
              <w:rPr>
                <w:color w:val="444444"/>
                <w:sz w:val="19"/>
                <w:szCs w:val="19"/>
              </w:rPr>
              <w:t>données</w:t>
            </w:r>
            <w:proofErr w:type="gramEnd"/>
            <w:r>
              <w:rPr>
                <w:color w:val="444444"/>
                <w:sz w:val="19"/>
                <w:szCs w:val="19"/>
              </w:rPr>
              <w:t xml:space="preserve"> insuffisantes, cycles économiques différents, comportements des emprunteurs spécifiques.</w:t>
            </w:r>
          </w:p>
          <w:p w14:paraId="0F2BB2A0" w14:textId="77777777" w:rsidR="000E1F1B" w:rsidRDefault="00000000">
            <w:pPr>
              <w:spacing w:before="20" w:after="20"/>
            </w:pPr>
            <w:r>
              <w:rPr>
                <w:color w:val="444444"/>
                <w:sz w:val="19"/>
                <w:szCs w:val="19"/>
              </w:rPr>
              <w:t>Nexus Alpha propose une validation indépendante avec recalibration locale.</w:t>
            </w:r>
          </w:p>
        </w:tc>
      </w:tr>
    </w:tbl>
    <w:p w14:paraId="63EE9454" w14:textId="77777777" w:rsidR="000E1F1B" w:rsidRDefault="000E1F1B"/>
    <w:p w14:paraId="52BD5266" w14:textId="77777777" w:rsidR="000E1F1B" w:rsidRDefault="00000000">
      <w:pPr>
        <w:pStyle w:val="Titre2"/>
      </w:pPr>
      <w:r>
        <w:t>4.2 — Processus de validation indépendante</w:t>
      </w:r>
    </w:p>
    <w:p w14:paraId="440F04DF" w14:textId="77777777" w:rsidR="000E1F1B" w:rsidRDefault="00000000">
      <w:pPr>
        <w:spacing w:before="60" w:after="60"/>
      </w:pPr>
      <w:r>
        <w:rPr>
          <w:color w:val="333333"/>
        </w:rPr>
        <w:t>La validation d'un modèle est un processus structuré qui examine toutes les dimensions du modèle, de sa conception à son utilisation.</w:t>
      </w:r>
    </w:p>
    <w:p w14:paraId="0F3AB57B" w14:textId="77777777" w:rsidR="000E1F1B" w:rsidRDefault="00000000">
      <w:pPr>
        <w:spacing w:before="180" w:after="60"/>
      </w:pPr>
      <w:r>
        <w:rPr>
          <w:b/>
          <w:bCs/>
          <w:color w:val="534AB7"/>
          <w:sz w:val="22"/>
          <w:szCs w:val="22"/>
        </w:rPr>
        <w:t>Étape 1 — Revue conceptuelle</w:t>
      </w:r>
    </w:p>
    <w:p w14:paraId="5A50FAAF" w14:textId="77777777" w:rsidR="000E1F1B" w:rsidRDefault="00000000">
      <w:pPr>
        <w:pStyle w:val="Paragraphedeliste"/>
        <w:numPr>
          <w:ilvl w:val="0"/>
          <w:numId w:val="2"/>
        </w:numPr>
        <w:spacing w:before="40" w:after="40"/>
      </w:pPr>
      <w:r>
        <w:rPr>
          <w:color w:val="333333"/>
        </w:rPr>
        <w:t>Adéquation de la méthodologie choisie au problème à résoudre</w:t>
      </w:r>
    </w:p>
    <w:p w14:paraId="6FAE04F5" w14:textId="77777777" w:rsidR="000E1F1B" w:rsidRDefault="00000000">
      <w:pPr>
        <w:pStyle w:val="Paragraphedeliste"/>
        <w:numPr>
          <w:ilvl w:val="0"/>
          <w:numId w:val="2"/>
        </w:numPr>
        <w:spacing w:before="40" w:after="40"/>
      </w:pPr>
      <w:r>
        <w:rPr>
          <w:color w:val="333333"/>
        </w:rPr>
        <w:t>Solidité des hypothèses théoriques sous-jacentes</w:t>
      </w:r>
    </w:p>
    <w:p w14:paraId="02010EBD" w14:textId="77777777" w:rsidR="000E1F1B" w:rsidRDefault="00000000">
      <w:pPr>
        <w:pStyle w:val="Paragraphedeliste"/>
        <w:numPr>
          <w:ilvl w:val="0"/>
          <w:numId w:val="2"/>
        </w:numPr>
        <w:spacing w:before="40" w:after="40"/>
      </w:pPr>
      <w:r>
        <w:rPr>
          <w:color w:val="333333"/>
        </w:rPr>
        <w:t>Revue de la littérature académique et des meilleures pratiques de l'industrie</w:t>
      </w:r>
    </w:p>
    <w:p w14:paraId="7D9F1324" w14:textId="77777777" w:rsidR="000E1F1B" w:rsidRDefault="00000000">
      <w:pPr>
        <w:pStyle w:val="Paragraphedeliste"/>
        <w:numPr>
          <w:ilvl w:val="0"/>
          <w:numId w:val="2"/>
        </w:numPr>
        <w:spacing w:before="40" w:after="40"/>
      </w:pPr>
      <w:r>
        <w:rPr>
          <w:color w:val="333333"/>
        </w:rPr>
        <w:t>Identification des limites et domaines d'application valides du modèle</w:t>
      </w:r>
    </w:p>
    <w:p w14:paraId="5AAE4BE8" w14:textId="77777777" w:rsidR="000E1F1B" w:rsidRDefault="00000000">
      <w:pPr>
        <w:spacing w:before="180" w:after="60"/>
      </w:pPr>
      <w:r>
        <w:rPr>
          <w:b/>
          <w:bCs/>
          <w:color w:val="534AB7"/>
          <w:sz w:val="22"/>
          <w:szCs w:val="22"/>
        </w:rPr>
        <w:t>Étape 2 — Revue des données</w:t>
      </w:r>
    </w:p>
    <w:p w14:paraId="6BA2EF8D" w14:textId="77777777" w:rsidR="000E1F1B" w:rsidRDefault="00000000">
      <w:pPr>
        <w:pStyle w:val="Paragraphedeliste"/>
        <w:numPr>
          <w:ilvl w:val="0"/>
          <w:numId w:val="2"/>
        </w:numPr>
        <w:spacing w:before="40" w:after="40"/>
      </w:pPr>
      <w:r>
        <w:rPr>
          <w:color w:val="333333"/>
        </w:rPr>
        <w:t>Qualité des données d'entraînement : complétude, fiabilité, représentativité</w:t>
      </w:r>
    </w:p>
    <w:p w14:paraId="64CCE01E" w14:textId="77777777" w:rsidR="000E1F1B" w:rsidRDefault="00000000">
      <w:pPr>
        <w:pStyle w:val="Paragraphedeliste"/>
        <w:numPr>
          <w:ilvl w:val="0"/>
          <w:numId w:val="2"/>
        </w:numPr>
        <w:spacing w:before="40" w:after="40"/>
      </w:pPr>
      <w:r>
        <w:rPr>
          <w:color w:val="333333"/>
        </w:rPr>
        <w:t xml:space="preserve">Traitement des valeurs manquantes et des </w:t>
      </w:r>
      <w:proofErr w:type="spellStart"/>
      <w:r>
        <w:rPr>
          <w:color w:val="333333"/>
        </w:rPr>
        <w:t>outliers</w:t>
      </w:r>
      <w:proofErr w:type="spellEnd"/>
    </w:p>
    <w:p w14:paraId="22BECE52" w14:textId="77777777" w:rsidR="000E1F1B" w:rsidRDefault="00000000">
      <w:pPr>
        <w:pStyle w:val="Paragraphedeliste"/>
        <w:numPr>
          <w:ilvl w:val="0"/>
          <w:numId w:val="2"/>
        </w:numPr>
        <w:spacing w:before="40" w:after="40"/>
      </w:pPr>
      <w:r>
        <w:rPr>
          <w:color w:val="333333"/>
        </w:rPr>
        <w:t>Vérification de l'absence de biais de sélection dans l'échantillon</w:t>
      </w:r>
    </w:p>
    <w:p w14:paraId="0CFDD717" w14:textId="77777777" w:rsidR="000E1F1B" w:rsidRDefault="00000000">
      <w:pPr>
        <w:pStyle w:val="Paragraphedeliste"/>
        <w:numPr>
          <w:ilvl w:val="0"/>
          <w:numId w:val="2"/>
        </w:numPr>
        <w:spacing w:before="40" w:after="40"/>
      </w:pPr>
      <w:r>
        <w:rPr>
          <w:color w:val="333333"/>
        </w:rPr>
        <w:t xml:space="preserve">Stabilité des données dans le temps (Population </w:t>
      </w:r>
      <w:proofErr w:type="spellStart"/>
      <w:r>
        <w:rPr>
          <w:color w:val="333333"/>
        </w:rPr>
        <w:t>Stability</w:t>
      </w:r>
      <w:proofErr w:type="spellEnd"/>
      <w:r>
        <w:rPr>
          <w:color w:val="333333"/>
        </w:rPr>
        <w:t xml:space="preserve"> Index — PSI)</w:t>
      </w:r>
    </w:p>
    <w:p w14:paraId="013142C9" w14:textId="77777777" w:rsidR="000E1F1B" w:rsidRDefault="00000000">
      <w:pPr>
        <w:spacing w:before="180" w:after="60"/>
      </w:pPr>
      <w:r>
        <w:rPr>
          <w:b/>
          <w:bCs/>
          <w:color w:val="534AB7"/>
          <w:sz w:val="22"/>
          <w:szCs w:val="22"/>
        </w:rPr>
        <w:t>Étape 3 — Tests de performance</w:t>
      </w:r>
    </w:p>
    <w:p w14:paraId="59DBB9B0" w14:textId="77777777" w:rsidR="000E1F1B" w:rsidRDefault="00000000">
      <w:pPr>
        <w:pStyle w:val="Paragraphedeliste"/>
        <w:numPr>
          <w:ilvl w:val="0"/>
          <w:numId w:val="2"/>
        </w:numPr>
        <w:spacing w:before="40" w:after="40"/>
      </w:pPr>
      <w:r>
        <w:rPr>
          <w:color w:val="333333"/>
        </w:rPr>
        <w:t xml:space="preserve">Discrimination (pour les modèles de </w:t>
      </w:r>
      <w:proofErr w:type="spellStart"/>
      <w:r>
        <w:rPr>
          <w:color w:val="333333"/>
        </w:rPr>
        <w:t>scoring</w:t>
      </w:r>
      <w:proofErr w:type="spellEnd"/>
      <w:r>
        <w:rPr>
          <w:color w:val="333333"/>
        </w:rPr>
        <w:t xml:space="preserve">) : AUC-ROC, Gini, KS </w:t>
      </w:r>
      <w:proofErr w:type="spellStart"/>
      <w:r>
        <w:rPr>
          <w:color w:val="333333"/>
        </w:rPr>
        <w:t>statistic</w:t>
      </w:r>
      <w:proofErr w:type="spellEnd"/>
      <w:r>
        <w:rPr>
          <w:color w:val="333333"/>
        </w:rPr>
        <w:t xml:space="preserve">, Lift </w:t>
      </w:r>
      <w:proofErr w:type="spellStart"/>
      <w:r>
        <w:rPr>
          <w:color w:val="333333"/>
        </w:rPr>
        <w:t>curve</w:t>
      </w:r>
      <w:proofErr w:type="spellEnd"/>
    </w:p>
    <w:p w14:paraId="5D6F7645" w14:textId="77777777" w:rsidR="000E1F1B" w:rsidRDefault="00000000">
      <w:pPr>
        <w:pStyle w:val="Paragraphedeliste"/>
        <w:numPr>
          <w:ilvl w:val="0"/>
          <w:numId w:val="2"/>
        </w:numPr>
        <w:spacing w:before="40" w:after="40"/>
      </w:pPr>
      <w:r>
        <w:rPr>
          <w:color w:val="333333"/>
        </w:rPr>
        <w:t>Calibration : test de Hosmer-</w:t>
      </w:r>
      <w:proofErr w:type="spellStart"/>
      <w:r>
        <w:rPr>
          <w:color w:val="333333"/>
        </w:rPr>
        <w:t>Lemeshow</w:t>
      </w:r>
      <w:proofErr w:type="spellEnd"/>
      <w:r>
        <w:rPr>
          <w:color w:val="333333"/>
        </w:rPr>
        <w:t>, comparaison PD prédite vs observée</w:t>
      </w:r>
    </w:p>
    <w:p w14:paraId="18191880" w14:textId="77777777" w:rsidR="000E1F1B" w:rsidRDefault="00000000">
      <w:pPr>
        <w:pStyle w:val="Paragraphedeliste"/>
        <w:numPr>
          <w:ilvl w:val="0"/>
          <w:numId w:val="2"/>
        </w:numPr>
        <w:spacing w:before="40" w:after="40"/>
      </w:pPr>
      <w:r>
        <w:rPr>
          <w:color w:val="333333"/>
        </w:rPr>
        <w:lastRenderedPageBreak/>
        <w:t>Stabilité : PSI, CSI (</w:t>
      </w:r>
      <w:proofErr w:type="spellStart"/>
      <w:r>
        <w:rPr>
          <w:color w:val="333333"/>
        </w:rPr>
        <w:t>Characteristic</w:t>
      </w:r>
      <w:proofErr w:type="spellEnd"/>
      <w:r>
        <w:rPr>
          <w:color w:val="333333"/>
        </w:rPr>
        <w:t xml:space="preserve"> </w:t>
      </w:r>
      <w:proofErr w:type="spellStart"/>
      <w:r>
        <w:rPr>
          <w:color w:val="333333"/>
        </w:rPr>
        <w:t>Stability</w:t>
      </w:r>
      <w:proofErr w:type="spellEnd"/>
      <w:r>
        <w:rPr>
          <w:color w:val="333333"/>
        </w:rPr>
        <w:t xml:space="preserve"> Index) sur fenêtres glissantes</w:t>
      </w:r>
    </w:p>
    <w:p w14:paraId="15CD9B67" w14:textId="77777777" w:rsidR="000E1F1B" w:rsidRDefault="00000000">
      <w:pPr>
        <w:pStyle w:val="Paragraphedeliste"/>
        <w:numPr>
          <w:ilvl w:val="0"/>
          <w:numId w:val="2"/>
        </w:numPr>
        <w:spacing w:before="40" w:after="40"/>
      </w:pPr>
      <w:r>
        <w:rPr>
          <w:color w:val="333333"/>
        </w:rPr>
        <w:t>Sensibilité : analyse de l'impact des variations des variables d'entrée sur l'output</w:t>
      </w:r>
    </w:p>
    <w:p w14:paraId="0BCF7B0A" w14:textId="77777777" w:rsidR="000E1F1B" w:rsidRDefault="00000000">
      <w:pPr>
        <w:spacing w:before="180" w:after="60"/>
      </w:pPr>
      <w:r>
        <w:rPr>
          <w:b/>
          <w:bCs/>
          <w:color w:val="534AB7"/>
          <w:sz w:val="22"/>
          <w:szCs w:val="22"/>
        </w:rPr>
        <w:t>Étape 4 — Back-</w:t>
      </w:r>
      <w:proofErr w:type="spellStart"/>
      <w:r>
        <w:rPr>
          <w:b/>
          <w:bCs/>
          <w:color w:val="534AB7"/>
          <w:sz w:val="22"/>
          <w:szCs w:val="22"/>
        </w:rPr>
        <w:t>testing</w:t>
      </w:r>
      <w:proofErr w:type="spellEnd"/>
    </w:p>
    <w:p w14:paraId="31AFE016" w14:textId="77777777" w:rsidR="000E1F1B" w:rsidRDefault="00000000">
      <w:pPr>
        <w:pStyle w:val="Paragraphedeliste"/>
        <w:numPr>
          <w:ilvl w:val="0"/>
          <w:numId w:val="2"/>
        </w:numPr>
        <w:spacing w:before="40" w:after="40"/>
      </w:pPr>
      <w:r>
        <w:rPr>
          <w:color w:val="333333"/>
        </w:rPr>
        <w:t>Comparaison des prévisions du modèle avec les réalisations observées ex-post</w:t>
      </w:r>
    </w:p>
    <w:p w14:paraId="43348156" w14:textId="77777777" w:rsidR="000E1F1B" w:rsidRDefault="00000000">
      <w:pPr>
        <w:pStyle w:val="Paragraphedeliste"/>
        <w:numPr>
          <w:ilvl w:val="0"/>
          <w:numId w:val="2"/>
        </w:numPr>
        <w:spacing w:before="40" w:after="40"/>
      </w:pPr>
      <w:r>
        <w:rPr>
          <w:color w:val="333333"/>
        </w:rPr>
        <w:t>Back-</w:t>
      </w:r>
      <w:proofErr w:type="spellStart"/>
      <w:r>
        <w:rPr>
          <w:color w:val="333333"/>
        </w:rPr>
        <w:t>testing</w:t>
      </w:r>
      <w:proofErr w:type="spellEnd"/>
      <w:r>
        <w:rPr>
          <w:color w:val="333333"/>
        </w:rPr>
        <w:t xml:space="preserve"> de la </w:t>
      </w:r>
      <w:proofErr w:type="spellStart"/>
      <w:r>
        <w:rPr>
          <w:color w:val="333333"/>
        </w:rPr>
        <w:t>VaR</w:t>
      </w:r>
      <w:proofErr w:type="spellEnd"/>
      <w:r>
        <w:rPr>
          <w:color w:val="333333"/>
        </w:rPr>
        <w:t xml:space="preserve"> : test de Kupiec (couverture inconditionnelle), test de Christoffersen (couverture conditionnelle)</w:t>
      </w:r>
    </w:p>
    <w:p w14:paraId="505295CF" w14:textId="77777777" w:rsidR="000E1F1B" w:rsidRDefault="00000000">
      <w:pPr>
        <w:pStyle w:val="Paragraphedeliste"/>
        <w:numPr>
          <w:ilvl w:val="0"/>
          <w:numId w:val="2"/>
        </w:numPr>
        <w:spacing w:before="40" w:after="40"/>
      </w:pPr>
      <w:r>
        <w:rPr>
          <w:color w:val="333333"/>
        </w:rPr>
        <w:t>Back-</w:t>
      </w:r>
      <w:proofErr w:type="spellStart"/>
      <w:r>
        <w:rPr>
          <w:color w:val="333333"/>
        </w:rPr>
        <w:t>testing</w:t>
      </w:r>
      <w:proofErr w:type="spellEnd"/>
      <w:r>
        <w:rPr>
          <w:color w:val="333333"/>
        </w:rPr>
        <w:t xml:space="preserve"> des modèles de crédit : taux de défaut prédit vs observé par cohorte</w:t>
      </w:r>
    </w:p>
    <w:p w14:paraId="0B4A10AD" w14:textId="77777777" w:rsidR="000E1F1B" w:rsidRDefault="00000000">
      <w:pPr>
        <w:pStyle w:val="Paragraphedeliste"/>
        <w:numPr>
          <w:ilvl w:val="0"/>
          <w:numId w:val="2"/>
        </w:numPr>
        <w:spacing w:before="40" w:after="40"/>
      </w:pPr>
      <w:r>
        <w:rPr>
          <w:color w:val="333333"/>
        </w:rPr>
        <w:t>Analyse des périodes de performance dégradée et de leurs causes</w:t>
      </w:r>
    </w:p>
    <w:p w14:paraId="336E7498" w14:textId="77777777" w:rsidR="000E1F1B" w:rsidRDefault="00000000">
      <w:pPr>
        <w:spacing w:before="180" w:after="60"/>
      </w:pPr>
      <w:r>
        <w:rPr>
          <w:b/>
          <w:bCs/>
          <w:color w:val="534AB7"/>
          <w:sz w:val="22"/>
          <w:szCs w:val="22"/>
        </w:rPr>
        <w:t>Étape 5 — Rapport de validation</w:t>
      </w:r>
    </w:p>
    <w:p w14:paraId="2F7BCA74" w14:textId="77777777" w:rsidR="000E1F1B" w:rsidRDefault="00000000">
      <w:pPr>
        <w:pStyle w:val="Paragraphedeliste"/>
        <w:numPr>
          <w:ilvl w:val="0"/>
          <w:numId w:val="2"/>
        </w:numPr>
        <w:spacing w:before="40" w:after="40"/>
      </w:pPr>
      <w:r>
        <w:rPr>
          <w:color w:val="333333"/>
        </w:rPr>
        <w:t>Synthèse des résultats de validation : conformité, réserves, conditions d'utilisation</w:t>
      </w:r>
    </w:p>
    <w:p w14:paraId="3B1298CF" w14:textId="77777777" w:rsidR="000E1F1B" w:rsidRDefault="00000000">
      <w:pPr>
        <w:pStyle w:val="Paragraphedeliste"/>
        <w:numPr>
          <w:ilvl w:val="0"/>
          <w:numId w:val="2"/>
        </w:numPr>
        <w:spacing w:before="40" w:after="40"/>
      </w:pPr>
      <w:r>
        <w:rPr>
          <w:color w:val="333333"/>
        </w:rPr>
        <w:t>Recommandations de recalibration ou de refonte si nécessaire</w:t>
      </w:r>
    </w:p>
    <w:p w14:paraId="537D20C7" w14:textId="77777777" w:rsidR="000E1F1B" w:rsidRDefault="00000000">
      <w:pPr>
        <w:pStyle w:val="Paragraphedeliste"/>
        <w:numPr>
          <w:ilvl w:val="0"/>
          <w:numId w:val="2"/>
        </w:numPr>
        <w:spacing w:before="40" w:after="40"/>
      </w:pPr>
      <w:r>
        <w:rPr>
          <w:color w:val="333333"/>
        </w:rPr>
        <w:t>Classement : approuvé sans réserve / approuvé avec conditions / à recalibrer / à retirer</w:t>
      </w:r>
    </w:p>
    <w:p w14:paraId="025F5B7F" w14:textId="77777777" w:rsidR="000E1F1B" w:rsidRDefault="00000000">
      <w:pPr>
        <w:pStyle w:val="Paragraphedeliste"/>
        <w:numPr>
          <w:ilvl w:val="0"/>
          <w:numId w:val="2"/>
        </w:numPr>
        <w:spacing w:before="40" w:after="40"/>
      </w:pPr>
      <w:r>
        <w:rPr>
          <w:color w:val="333333"/>
        </w:rPr>
        <w:t>Documentation conforme aux exigences SR 11-7 (Fed) et guides BCE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05B56975" w14:textId="77777777">
        <w:tc>
          <w:tcPr>
            <w:tcW w:w="9360" w:type="dxa"/>
            <w:tcBorders>
              <w:top w:val="single" w:sz="4" w:space="0" w:color="378ADD"/>
              <w:left w:val="single" w:sz="12" w:space="0" w:color="378ADD"/>
              <w:bottom w:val="none" w:sz="0" w:space="0" w:color="FFFFFF"/>
              <w:right w:val="none" w:sz="0" w:space="0" w:color="FFFFFF"/>
            </w:tcBorders>
            <w:shd w:val="clear" w:color="auto" w:fill="E6F1FB"/>
            <w:tcMar>
              <w:top w:w="120" w:type="dxa"/>
              <w:left w:w="200" w:type="dxa"/>
              <w:bottom w:w="120" w:type="dxa"/>
              <w:right w:w="200" w:type="dxa"/>
            </w:tcMar>
          </w:tcPr>
          <w:p w14:paraId="1F45CB84" w14:textId="77777777" w:rsidR="000E1F1B" w:rsidRDefault="00000000">
            <w:pPr>
              <w:spacing w:after="60"/>
            </w:pPr>
            <w:r>
              <w:rPr>
                <w:b/>
                <w:bCs/>
                <w:color w:val="3C3489"/>
                <w:sz w:val="20"/>
                <w:szCs w:val="20"/>
              </w:rPr>
              <w:t>Livrables — Validation de modèles</w:t>
            </w:r>
          </w:p>
          <w:p w14:paraId="539D3928" w14:textId="77777777" w:rsidR="000E1F1B" w:rsidRDefault="00000000">
            <w:pPr>
              <w:spacing w:before="20" w:after="20"/>
            </w:pPr>
            <w:r>
              <w:rPr>
                <w:color w:val="444444"/>
                <w:sz w:val="19"/>
                <w:szCs w:val="19"/>
              </w:rPr>
              <w:t>• Rapport de validation complet (50–100 pages) par modèle</w:t>
            </w:r>
          </w:p>
          <w:p w14:paraId="51A698D5" w14:textId="77777777" w:rsidR="000E1F1B" w:rsidRDefault="00000000">
            <w:pPr>
              <w:spacing w:before="20" w:after="20"/>
            </w:pPr>
            <w:r>
              <w:rPr>
                <w:color w:val="444444"/>
                <w:sz w:val="19"/>
                <w:szCs w:val="19"/>
              </w:rPr>
              <w:t>• Synthèse exécutive pour le Comité des Risques et le Conseil d'Administration</w:t>
            </w:r>
          </w:p>
          <w:p w14:paraId="7F421365" w14:textId="77777777" w:rsidR="000E1F1B" w:rsidRDefault="00000000">
            <w:pPr>
              <w:spacing w:before="20" w:after="20"/>
            </w:pPr>
            <w:r>
              <w:rPr>
                <w:color w:val="444444"/>
                <w:sz w:val="19"/>
                <w:szCs w:val="19"/>
              </w:rPr>
              <w:t>• Base de suivi des recommandations et plan de remédiation</w:t>
            </w:r>
          </w:p>
          <w:p w14:paraId="24EEF8BD" w14:textId="77777777" w:rsidR="000E1F1B" w:rsidRDefault="00000000">
            <w:pPr>
              <w:spacing w:before="20" w:after="20"/>
            </w:pPr>
            <w:r>
              <w:rPr>
                <w:color w:val="444444"/>
                <w:sz w:val="19"/>
                <w:szCs w:val="19"/>
              </w:rPr>
              <w:t>• Avis de validation formel signé par un expert indépendant</w:t>
            </w:r>
          </w:p>
          <w:p w14:paraId="7EC925A0" w14:textId="77777777" w:rsidR="000E1F1B" w:rsidRDefault="00000000">
            <w:pPr>
              <w:spacing w:before="20" w:after="20"/>
            </w:pPr>
            <w:r>
              <w:rPr>
                <w:color w:val="444444"/>
                <w:sz w:val="19"/>
                <w:szCs w:val="19"/>
              </w:rPr>
              <w:t>• Dossier de validation archivé pour les régulateurs et auditeurs</w:t>
            </w:r>
          </w:p>
        </w:tc>
      </w:tr>
    </w:tbl>
    <w:p w14:paraId="1B9B6A93" w14:textId="77777777" w:rsidR="000E1F1B" w:rsidRDefault="000E1F1B"/>
    <w:p w14:paraId="34543E4E" w14:textId="77777777" w:rsidR="000E1F1B" w:rsidRDefault="00000000">
      <w:pPr>
        <w:pStyle w:val="Titre2"/>
      </w:pPr>
      <w:r>
        <w:t>4.3 — Monitoring continu &amp; gouvernance</w:t>
      </w:r>
    </w:p>
    <w:p w14:paraId="1EE6F2F5" w14:textId="77777777" w:rsidR="000E1F1B" w:rsidRDefault="00000000">
      <w:pPr>
        <w:spacing w:before="60" w:after="60"/>
      </w:pPr>
      <w:r>
        <w:rPr>
          <w:color w:val="333333"/>
        </w:rPr>
        <w:t>La validation n'est pas un acte ponctuel : un modèle validé doit être surveillé en permanence pour détecter toute dégradation de performance.</w:t>
      </w:r>
    </w:p>
    <w:p w14:paraId="1D035276" w14:textId="77777777" w:rsidR="000E1F1B" w:rsidRDefault="00000000">
      <w:pPr>
        <w:spacing w:before="180" w:after="60"/>
      </w:pPr>
      <w:r>
        <w:rPr>
          <w:b/>
          <w:bCs/>
          <w:color w:val="534AB7"/>
          <w:sz w:val="22"/>
          <w:szCs w:val="22"/>
        </w:rPr>
        <w:t>Monitoring continu (</w:t>
      </w:r>
      <w:proofErr w:type="spellStart"/>
      <w:r>
        <w:rPr>
          <w:b/>
          <w:bCs/>
          <w:color w:val="534AB7"/>
          <w:sz w:val="22"/>
          <w:szCs w:val="22"/>
        </w:rPr>
        <w:t>retainer</w:t>
      </w:r>
      <w:proofErr w:type="spellEnd"/>
      <w:r>
        <w:rPr>
          <w:b/>
          <w:bCs/>
          <w:color w:val="534AB7"/>
          <w:sz w:val="22"/>
          <w:szCs w:val="22"/>
        </w:rPr>
        <w:t xml:space="preserve"> MRM)</w:t>
      </w:r>
    </w:p>
    <w:p w14:paraId="237F27D9" w14:textId="77777777" w:rsidR="000E1F1B" w:rsidRDefault="00000000">
      <w:pPr>
        <w:pStyle w:val="Paragraphedeliste"/>
        <w:numPr>
          <w:ilvl w:val="0"/>
          <w:numId w:val="2"/>
        </w:numPr>
        <w:spacing w:before="40" w:after="40"/>
      </w:pPr>
      <w:r>
        <w:rPr>
          <w:color w:val="333333"/>
        </w:rPr>
        <w:t>Suivi mensuel des indicateurs de performance clés (KPI) de chaque modèle</w:t>
      </w:r>
    </w:p>
    <w:p w14:paraId="60288566" w14:textId="77777777" w:rsidR="000E1F1B" w:rsidRDefault="00000000">
      <w:pPr>
        <w:pStyle w:val="Paragraphedeliste"/>
        <w:numPr>
          <w:ilvl w:val="0"/>
          <w:numId w:val="2"/>
        </w:numPr>
        <w:spacing w:before="40" w:after="40"/>
      </w:pPr>
      <w:r>
        <w:rPr>
          <w:color w:val="333333"/>
        </w:rPr>
        <w:t>Alertes automatiques en cas de dégradation significative (dérive de PSI, AUC en baisse)</w:t>
      </w:r>
    </w:p>
    <w:p w14:paraId="0D928488" w14:textId="77777777" w:rsidR="000E1F1B" w:rsidRDefault="00000000">
      <w:pPr>
        <w:pStyle w:val="Paragraphedeliste"/>
        <w:numPr>
          <w:ilvl w:val="0"/>
          <w:numId w:val="2"/>
        </w:numPr>
        <w:spacing w:before="40" w:after="40"/>
      </w:pPr>
      <w:r>
        <w:rPr>
          <w:color w:val="333333"/>
        </w:rPr>
        <w:t>Rapport trimestriel de monitoring soumis au Comité des Risques</w:t>
      </w:r>
    </w:p>
    <w:p w14:paraId="48F30D27" w14:textId="77777777" w:rsidR="000E1F1B" w:rsidRDefault="00000000">
      <w:pPr>
        <w:pStyle w:val="Paragraphedeliste"/>
        <w:numPr>
          <w:ilvl w:val="0"/>
          <w:numId w:val="2"/>
        </w:numPr>
        <w:spacing w:before="40" w:after="40"/>
      </w:pPr>
      <w:r>
        <w:rPr>
          <w:color w:val="333333"/>
        </w:rPr>
        <w:t>Revue annuelle complète de chaque modèle critique</w:t>
      </w:r>
    </w:p>
    <w:p w14:paraId="2F4C7067" w14:textId="77777777" w:rsidR="000E1F1B" w:rsidRDefault="00000000">
      <w:pPr>
        <w:spacing w:before="180" w:after="60"/>
      </w:pPr>
      <w:r>
        <w:rPr>
          <w:b/>
          <w:bCs/>
          <w:color w:val="534AB7"/>
          <w:sz w:val="22"/>
          <w:szCs w:val="22"/>
        </w:rPr>
        <w:t>Gouvernance du risque de modèle</w:t>
      </w:r>
    </w:p>
    <w:p w14:paraId="2280F417" w14:textId="77777777" w:rsidR="000E1F1B" w:rsidRDefault="00000000">
      <w:pPr>
        <w:pStyle w:val="Paragraphedeliste"/>
        <w:numPr>
          <w:ilvl w:val="0"/>
          <w:numId w:val="2"/>
        </w:numPr>
        <w:spacing w:before="40" w:after="40"/>
      </w:pPr>
      <w:r>
        <w:rPr>
          <w:color w:val="333333"/>
        </w:rPr>
        <w:t>Politique de gestion du risque de modèle : rôles et responsabilités (développeur, validateur, utilisateur)</w:t>
      </w:r>
    </w:p>
    <w:p w14:paraId="4820D392" w14:textId="77777777" w:rsidR="000E1F1B" w:rsidRDefault="00000000">
      <w:pPr>
        <w:pStyle w:val="Paragraphedeliste"/>
        <w:numPr>
          <w:ilvl w:val="0"/>
          <w:numId w:val="2"/>
        </w:numPr>
        <w:spacing w:before="40" w:after="40"/>
      </w:pPr>
      <w:r>
        <w:rPr>
          <w:color w:val="333333"/>
        </w:rPr>
        <w:t>Processus d'approbation des nouveaux modèles et des modifications significatives</w:t>
      </w:r>
    </w:p>
    <w:p w14:paraId="2E61713D" w14:textId="77777777" w:rsidR="000E1F1B" w:rsidRDefault="00000000">
      <w:pPr>
        <w:pStyle w:val="Paragraphedeliste"/>
        <w:numPr>
          <w:ilvl w:val="0"/>
          <w:numId w:val="2"/>
        </w:numPr>
        <w:spacing w:before="40" w:after="40"/>
      </w:pPr>
      <w:r>
        <w:rPr>
          <w:color w:val="333333"/>
        </w:rPr>
        <w:t>Registre central des modèles (Model Inventory) avec statuts de validation</w:t>
      </w:r>
    </w:p>
    <w:p w14:paraId="6B420BE5" w14:textId="77777777" w:rsidR="000E1F1B" w:rsidRDefault="00000000">
      <w:pPr>
        <w:pStyle w:val="Paragraphedeliste"/>
        <w:numPr>
          <w:ilvl w:val="0"/>
          <w:numId w:val="2"/>
        </w:numPr>
        <w:spacing w:before="40" w:after="40"/>
      </w:pPr>
      <w:r>
        <w:rPr>
          <w:color w:val="333333"/>
        </w:rPr>
        <w:t>Comité de validation des modèles : composition, fréquence, attributions</w:t>
      </w:r>
    </w:p>
    <w:p w14:paraId="5FCF4F1E" w14:textId="77777777" w:rsidR="000E1F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0EF7E74A" w14:textId="77777777">
        <w:tc>
          <w:tcPr>
            <w:tcW w:w="9360" w:type="dxa"/>
            <w:tcBorders>
              <w:top w:val="none" w:sz="0" w:space="0" w:color="FFFFFF"/>
              <w:left w:val="none" w:sz="0" w:space="0" w:color="FFFFFF"/>
              <w:bottom w:val="none" w:sz="0" w:space="0" w:color="FFFFFF"/>
              <w:right w:val="none" w:sz="0" w:space="0" w:color="FFFFFF"/>
            </w:tcBorders>
            <w:shd w:val="clear" w:color="auto" w:fill="534AB7"/>
            <w:tcMar>
              <w:top w:w="200" w:type="dxa"/>
              <w:left w:w="300" w:type="dxa"/>
              <w:bottom w:w="200" w:type="dxa"/>
              <w:right w:w="300" w:type="dxa"/>
            </w:tcMar>
          </w:tcPr>
          <w:p w14:paraId="2F1B26B7" w14:textId="77777777" w:rsidR="000E1F1B" w:rsidRDefault="00000000">
            <w:r>
              <w:rPr>
                <w:color w:val="FFFFFF"/>
                <w:sz w:val="18"/>
                <w:szCs w:val="18"/>
              </w:rPr>
              <w:lastRenderedPageBreak/>
              <w:t>PÔLE 5</w:t>
            </w:r>
          </w:p>
          <w:p w14:paraId="3FA8F4C6" w14:textId="77777777" w:rsidR="000E1F1B" w:rsidRDefault="00000000">
            <w:r>
              <w:rPr>
                <w:b/>
                <w:bCs/>
                <w:color w:val="FFFFFF"/>
                <w:sz w:val="40"/>
                <w:szCs w:val="40"/>
              </w:rPr>
              <w:t>Data science appliquée</w:t>
            </w:r>
          </w:p>
          <w:p w14:paraId="4FC335E8" w14:textId="77777777" w:rsidR="000E1F1B" w:rsidRDefault="00000000">
            <w:r>
              <w:rPr>
                <w:i/>
                <w:iCs/>
                <w:color w:val="FFFFFF"/>
                <w:sz w:val="22"/>
                <w:szCs w:val="22"/>
              </w:rPr>
              <w:t>Machine Learning · Modélisation · Intelligence décisionnelle</w:t>
            </w:r>
          </w:p>
        </w:tc>
      </w:tr>
    </w:tbl>
    <w:p w14:paraId="5770CBD6" w14:textId="77777777" w:rsidR="000E1F1B" w:rsidRDefault="000E1F1B"/>
    <w:p w14:paraId="1D48B54C" w14:textId="77777777" w:rsidR="000E1F1B" w:rsidRDefault="00000000">
      <w:pPr>
        <w:pStyle w:val="Titre2"/>
      </w:pPr>
      <w:r>
        <w:t>Présentation générale</w:t>
      </w:r>
    </w:p>
    <w:p w14:paraId="095FF550" w14:textId="77777777" w:rsidR="000E1F1B" w:rsidRDefault="00000000">
      <w:pPr>
        <w:spacing w:before="60" w:after="60"/>
      </w:pPr>
      <w:r>
        <w:rPr>
          <w:color w:val="333333"/>
        </w:rPr>
        <w:t>La data science appliquée à la finance et à la gestion des risques permet de tirer parti de volumes de données croissants pour améliorer la précision des modèles, automatiser les décisions et détecter des signaux faibles imperceptibles par les méthodes traditionnelles.</w:t>
      </w:r>
    </w:p>
    <w:p w14:paraId="4152A33A" w14:textId="77777777" w:rsidR="000E1F1B" w:rsidRDefault="00000000">
      <w:pPr>
        <w:spacing w:before="60" w:after="60"/>
      </w:pPr>
      <w:r>
        <w:rPr>
          <w:color w:val="333333"/>
        </w:rPr>
        <w:t>En Afrique francophone, ce pôle répond à un besoin spécifique : les données formelles (états financiers audités, historiques de crédit) sont souvent rares, mais les données alternatives (mobile money, transactions téléphoniques, données satellites) sont abondantes et sous-exploitées.</w:t>
      </w:r>
    </w:p>
    <w:p w14:paraId="1A4CC582" w14:textId="77777777" w:rsidR="000E1F1B" w:rsidRDefault="000E1F1B"/>
    <w:p w14:paraId="0E41D31D" w14:textId="77777777" w:rsidR="000E1F1B" w:rsidRDefault="00000000">
      <w:pPr>
        <w:pStyle w:val="Titre2"/>
      </w:pPr>
      <w:r>
        <w:t>5.1 — Modèles de Machine Learning pour le risque</w:t>
      </w:r>
    </w:p>
    <w:p w14:paraId="0E4CAC92" w14:textId="77777777" w:rsidR="000E1F1B" w:rsidRDefault="00000000">
      <w:pPr>
        <w:spacing w:before="180" w:after="60"/>
      </w:pPr>
      <w:r>
        <w:rPr>
          <w:b/>
          <w:bCs/>
          <w:color w:val="534AB7"/>
          <w:sz w:val="22"/>
          <w:szCs w:val="22"/>
        </w:rPr>
        <w:t>Algorithmes déployés</w:t>
      </w:r>
    </w:p>
    <w:p w14:paraId="2E8516E3" w14:textId="77777777" w:rsidR="000E1F1B" w:rsidRDefault="00000000">
      <w:pPr>
        <w:pStyle w:val="Paragraphedeliste"/>
        <w:numPr>
          <w:ilvl w:val="0"/>
          <w:numId w:val="2"/>
        </w:numPr>
        <w:spacing w:before="40" w:after="40"/>
      </w:pPr>
      <w:r>
        <w:rPr>
          <w:color w:val="333333"/>
        </w:rPr>
        <w:t xml:space="preserve">Régression logistique : base de référence, très interprétable, adaptée au </w:t>
      </w:r>
      <w:proofErr w:type="spellStart"/>
      <w:r>
        <w:rPr>
          <w:color w:val="333333"/>
        </w:rPr>
        <w:t>scoring</w:t>
      </w:r>
      <w:proofErr w:type="spellEnd"/>
      <w:r>
        <w:rPr>
          <w:color w:val="333333"/>
        </w:rPr>
        <w:t xml:space="preserve"> réglementaire</w:t>
      </w:r>
    </w:p>
    <w:p w14:paraId="42CBBEA2" w14:textId="77777777" w:rsidR="000E1F1B" w:rsidRDefault="00000000">
      <w:pPr>
        <w:pStyle w:val="Paragraphedeliste"/>
        <w:numPr>
          <w:ilvl w:val="0"/>
          <w:numId w:val="2"/>
        </w:numPr>
        <w:spacing w:before="40" w:after="40"/>
      </w:pPr>
      <w:r>
        <w:rPr>
          <w:color w:val="333333"/>
        </w:rPr>
        <w:t xml:space="preserve">Arbres de décision &amp; Random </w:t>
      </w:r>
      <w:proofErr w:type="spellStart"/>
      <w:r>
        <w:rPr>
          <w:color w:val="333333"/>
        </w:rPr>
        <w:t>Forests</w:t>
      </w:r>
      <w:proofErr w:type="spellEnd"/>
      <w:r>
        <w:rPr>
          <w:color w:val="333333"/>
        </w:rPr>
        <w:t xml:space="preserve"> : capture des interactions non linéaires</w:t>
      </w:r>
    </w:p>
    <w:p w14:paraId="1D5D2139" w14:textId="77777777" w:rsidR="000E1F1B" w:rsidRDefault="00000000">
      <w:pPr>
        <w:pStyle w:val="Paragraphedeliste"/>
        <w:numPr>
          <w:ilvl w:val="0"/>
          <w:numId w:val="2"/>
        </w:numPr>
        <w:spacing w:before="40" w:after="40"/>
      </w:pPr>
      <w:r>
        <w:rPr>
          <w:color w:val="333333"/>
        </w:rPr>
        <w:t xml:space="preserve">Gradient </w:t>
      </w:r>
      <w:proofErr w:type="spellStart"/>
      <w:r>
        <w:rPr>
          <w:color w:val="333333"/>
        </w:rPr>
        <w:t>Boosting</w:t>
      </w:r>
      <w:proofErr w:type="spellEnd"/>
      <w:r>
        <w:rPr>
          <w:color w:val="333333"/>
        </w:rPr>
        <w:t xml:space="preserve"> (</w:t>
      </w:r>
      <w:proofErr w:type="spellStart"/>
      <w:r>
        <w:rPr>
          <w:color w:val="333333"/>
        </w:rPr>
        <w:t>XGBoost</w:t>
      </w:r>
      <w:proofErr w:type="spellEnd"/>
      <w:r>
        <w:rPr>
          <w:color w:val="333333"/>
        </w:rPr>
        <w:t xml:space="preserve">, </w:t>
      </w:r>
      <w:proofErr w:type="spellStart"/>
      <w:r>
        <w:rPr>
          <w:color w:val="333333"/>
        </w:rPr>
        <w:t>LightGBM</w:t>
      </w:r>
      <w:proofErr w:type="spellEnd"/>
      <w:r>
        <w:rPr>
          <w:color w:val="333333"/>
        </w:rPr>
        <w:t xml:space="preserve">) : performance élevée, standard de l'industrie pour le </w:t>
      </w:r>
      <w:proofErr w:type="spellStart"/>
      <w:r>
        <w:rPr>
          <w:color w:val="333333"/>
        </w:rPr>
        <w:t>scoring</w:t>
      </w:r>
      <w:proofErr w:type="spellEnd"/>
      <w:r>
        <w:rPr>
          <w:color w:val="333333"/>
        </w:rPr>
        <w:t xml:space="preserve"> crédit</w:t>
      </w:r>
    </w:p>
    <w:p w14:paraId="18D04F6B" w14:textId="77777777" w:rsidR="000E1F1B" w:rsidRDefault="00000000">
      <w:pPr>
        <w:pStyle w:val="Paragraphedeliste"/>
        <w:numPr>
          <w:ilvl w:val="0"/>
          <w:numId w:val="2"/>
        </w:numPr>
        <w:spacing w:before="40" w:after="40"/>
      </w:pPr>
      <w:r>
        <w:rPr>
          <w:color w:val="333333"/>
        </w:rPr>
        <w:t>Réseaux de neurones profonds (Deep Learning) : pour les données non structurées (textes, images)</w:t>
      </w:r>
    </w:p>
    <w:p w14:paraId="0A8368D5" w14:textId="77777777" w:rsidR="000E1F1B" w:rsidRDefault="00000000">
      <w:pPr>
        <w:pStyle w:val="Paragraphedeliste"/>
        <w:numPr>
          <w:ilvl w:val="0"/>
          <w:numId w:val="2"/>
        </w:numPr>
        <w:spacing w:before="40" w:after="40"/>
      </w:pPr>
      <w:r>
        <w:rPr>
          <w:color w:val="333333"/>
        </w:rPr>
        <w:t>Modèles de série temporelle (ARIMA, Prophet, LSTM) : prévision de défauts, de revenus, de prix</w:t>
      </w:r>
    </w:p>
    <w:p w14:paraId="6E596641" w14:textId="77777777" w:rsidR="000E1F1B" w:rsidRDefault="00000000">
      <w:pPr>
        <w:spacing w:before="180" w:after="60"/>
      </w:pPr>
      <w:r>
        <w:rPr>
          <w:b/>
          <w:bCs/>
          <w:color w:val="534AB7"/>
          <w:sz w:val="22"/>
          <w:szCs w:val="22"/>
        </w:rPr>
        <w:t>Applications spécifiques au risque</w:t>
      </w:r>
    </w:p>
    <w:p w14:paraId="76B4B243" w14:textId="77777777" w:rsidR="000E1F1B" w:rsidRDefault="00000000">
      <w:pPr>
        <w:pStyle w:val="Paragraphedeliste"/>
        <w:numPr>
          <w:ilvl w:val="0"/>
          <w:numId w:val="2"/>
        </w:numPr>
        <w:spacing w:before="40" w:after="40"/>
      </w:pPr>
      <w:proofErr w:type="spellStart"/>
      <w:r>
        <w:rPr>
          <w:color w:val="333333"/>
        </w:rPr>
        <w:t>Scoring</w:t>
      </w:r>
      <w:proofErr w:type="spellEnd"/>
      <w:r>
        <w:rPr>
          <w:color w:val="333333"/>
        </w:rPr>
        <w:t xml:space="preserve"> crédit alternatif : utilisation des données de mobile money (Orange Money, MTN </w:t>
      </w:r>
      <w:proofErr w:type="spellStart"/>
      <w:r>
        <w:rPr>
          <w:color w:val="333333"/>
        </w:rPr>
        <w:t>MoMo</w:t>
      </w:r>
      <w:proofErr w:type="spellEnd"/>
      <w:r>
        <w:rPr>
          <w:color w:val="333333"/>
        </w:rPr>
        <w:t>, Wave) pour noter les emprunteurs sans historique bancaire</w:t>
      </w:r>
    </w:p>
    <w:p w14:paraId="0D27AEDA" w14:textId="77777777" w:rsidR="000E1F1B" w:rsidRDefault="00000000">
      <w:pPr>
        <w:pStyle w:val="Paragraphedeliste"/>
        <w:numPr>
          <w:ilvl w:val="0"/>
          <w:numId w:val="2"/>
        </w:numPr>
        <w:spacing w:before="40" w:after="40"/>
      </w:pPr>
      <w:r>
        <w:rPr>
          <w:color w:val="333333"/>
        </w:rPr>
        <w:t>Détection de fraude en temps réel : modèles d'anomalie sur les transactions bancaires</w:t>
      </w:r>
    </w:p>
    <w:p w14:paraId="466B9412" w14:textId="77777777" w:rsidR="000E1F1B" w:rsidRDefault="00000000">
      <w:pPr>
        <w:pStyle w:val="Paragraphedeliste"/>
        <w:numPr>
          <w:ilvl w:val="0"/>
          <w:numId w:val="2"/>
        </w:numPr>
        <w:spacing w:before="40" w:after="40"/>
      </w:pPr>
      <w:r>
        <w:rPr>
          <w:color w:val="333333"/>
        </w:rPr>
        <w:t xml:space="preserve">Prévision de </w:t>
      </w:r>
      <w:proofErr w:type="spellStart"/>
      <w:r>
        <w:rPr>
          <w:color w:val="333333"/>
        </w:rPr>
        <w:t>churn</w:t>
      </w:r>
      <w:proofErr w:type="spellEnd"/>
      <w:r>
        <w:rPr>
          <w:color w:val="333333"/>
        </w:rPr>
        <w:t xml:space="preserve"> : identification des clients à risque de départ ou de défaillance</w:t>
      </w:r>
    </w:p>
    <w:p w14:paraId="281C5D31" w14:textId="77777777" w:rsidR="000E1F1B" w:rsidRDefault="00000000">
      <w:pPr>
        <w:pStyle w:val="Paragraphedeliste"/>
        <w:numPr>
          <w:ilvl w:val="0"/>
          <w:numId w:val="2"/>
        </w:numPr>
        <w:spacing w:before="40" w:after="40"/>
      </w:pPr>
      <w:r>
        <w:rPr>
          <w:color w:val="333333"/>
        </w:rPr>
        <w:t>Prévision de NPL : anticipation de la dégradation du portefeuille de crédit à 3–6 mois</w:t>
      </w:r>
    </w:p>
    <w:p w14:paraId="632FF4CB" w14:textId="77777777" w:rsidR="000E1F1B" w:rsidRDefault="00000000">
      <w:pPr>
        <w:pStyle w:val="Paragraphedeliste"/>
        <w:numPr>
          <w:ilvl w:val="0"/>
          <w:numId w:val="2"/>
        </w:numPr>
        <w:spacing w:before="40" w:after="40"/>
      </w:pPr>
      <w:r>
        <w:rPr>
          <w:color w:val="333333"/>
        </w:rPr>
        <w:t>Estimation des LGD par Machine Learning : meilleure capture des effets non linéaires</w:t>
      </w:r>
    </w:p>
    <w:p w14:paraId="41CF0156" w14:textId="77777777" w:rsidR="000E1F1B" w:rsidRDefault="00000000">
      <w:pPr>
        <w:spacing w:before="180" w:after="60"/>
      </w:pPr>
      <w:r>
        <w:rPr>
          <w:b/>
          <w:bCs/>
          <w:color w:val="534AB7"/>
          <w:sz w:val="22"/>
          <w:szCs w:val="22"/>
        </w:rPr>
        <w:t>Explicabilité des modèles (XAI)</w:t>
      </w:r>
    </w:p>
    <w:p w14:paraId="3D73282B" w14:textId="77777777" w:rsidR="000E1F1B" w:rsidRDefault="00000000">
      <w:pPr>
        <w:spacing w:before="60" w:after="60"/>
      </w:pPr>
      <w:r>
        <w:rPr>
          <w:color w:val="333333"/>
        </w:rPr>
        <w:t>Les régulateurs et les comités de crédit exigent que les décisions automatisées soient explicables. Nexus Alpha intègre systématiquement les outils d'explicabilité :</w:t>
      </w:r>
    </w:p>
    <w:p w14:paraId="05D8D0FE" w14:textId="77777777" w:rsidR="000E1F1B" w:rsidRDefault="00000000">
      <w:pPr>
        <w:pStyle w:val="Paragraphedeliste"/>
        <w:numPr>
          <w:ilvl w:val="0"/>
          <w:numId w:val="2"/>
        </w:numPr>
        <w:spacing w:before="40" w:after="40"/>
      </w:pPr>
      <w:r>
        <w:rPr>
          <w:color w:val="333333"/>
        </w:rPr>
        <w:t>SHAP (</w:t>
      </w:r>
      <w:proofErr w:type="spellStart"/>
      <w:r>
        <w:rPr>
          <w:color w:val="333333"/>
        </w:rPr>
        <w:t>SHapley</w:t>
      </w:r>
      <w:proofErr w:type="spellEnd"/>
      <w:r>
        <w:rPr>
          <w:color w:val="333333"/>
        </w:rPr>
        <w:t xml:space="preserve"> Additive </w:t>
      </w:r>
      <w:proofErr w:type="spellStart"/>
      <w:r>
        <w:rPr>
          <w:color w:val="333333"/>
        </w:rPr>
        <w:t>exPlanations</w:t>
      </w:r>
      <w:proofErr w:type="spellEnd"/>
      <w:r>
        <w:rPr>
          <w:color w:val="333333"/>
        </w:rPr>
        <w:t>) : contribution de chaque variable à la décision</w:t>
      </w:r>
    </w:p>
    <w:p w14:paraId="69D64BCE" w14:textId="77777777" w:rsidR="000E1F1B" w:rsidRDefault="00000000">
      <w:pPr>
        <w:pStyle w:val="Paragraphedeliste"/>
        <w:numPr>
          <w:ilvl w:val="0"/>
          <w:numId w:val="2"/>
        </w:numPr>
        <w:spacing w:before="40" w:after="40"/>
      </w:pPr>
      <w:r>
        <w:rPr>
          <w:color w:val="333333"/>
        </w:rPr>
        <w:t xml:space="preserve">LIME (Local </w:t>
      </w:r>
      <w:proofErr w:type="spellStart"/>
      <w:r>
        <w:rPr>
          <w:color w:val="333333"/>
        </w:rPr>
        <w:t>Interpretable</w:t>
      </w:r>
      <w:proofErr w:type="spellEnd"/>
      <w:r>
        <w:rPr>
          <w:color w:val="333333"/>
        </w:rPr>
        <w:t xml:space="preserve"> Model-</w:t>
      </w:r>
      <w:proofErr w:type="spellStart"/>
      <w:r>
        <w:rPr>
          <w:color w:val="333333"/>
        </w:rPr>
        <w:t>agnostic</w:t>
      </w:r>
      <w:proofErr w:type="spellEnd"/>
      <w:r>
        <w:rPr>
          <w:color w:val="333333"/>
        </w:rPr>
        <w:t xml:space="preserve"> </w:t>
      </w:r>
      <w:proofErr w:type="spellStart"/>
      <w:r>
        <w:rPr>
          <w:color w:val="333333"/>
        </w:rPr>
        <w:t>Explanations</w:t>
      </w:r>
      <w:proofErr w:type="spellEnd"/>
      <w:r>
        <w:rPr>
          <w:color w:val="333333"/>
        </w:rPr>
        <w:t>) : explication locale par approximation linéaire</w:t>
      </w:r>
    </w:p>
    <w:p w14:paraId="5D270C21" w14:textId="77777777" w:rsidR="000E1F1B" w:rsidRDefault="00000000">
      <w:pPr>
        <w:pStyle w:val="Paragraphedeliste"/>
        <w:numPr>
          <w:ilvl w:val="0"/>
          <w:numId w:val="2"/>
        </w:numPr>
        <w:spacing w:before="40" w:after="40"/>
      </w:pPr>
      <w:r>
        <w:rPr>
          <w:color w:val="333333"/>
        </w:rPr>
        <w:t>Graphiques de dépendance partielle (PDP) et d'importance des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5A3F05C7" w14:textId="77777777">
        <w:tc>
          <w:tcPr>
            <w:tcW w:w="9360" w:type="dxa"/>
            <w:tcBorders>
              <w:top w:val="single" w:sz="4" w:space="0" w:color="534AB7"/>
              <w:left w:val="single" w:sz="12" w:space="0" w:color="534AB7"/>
              <w:bottom w:val="none" w:sz="0" w:space="0" w:color="FFFFFF"/>
              <w:right w:val="none" w:sz="0" w:space="0" w:color="FFFFFF"/>
            </w:tcBorders>
            <w:shd w:val="clear" w:color="auto" w:fill="EEEDFE"/>
            <w:tcMar>
              <w:top w:w="120" w:type="dxa"/>
              <w:left w:w="200" w:type="dxa"/>
              <w:bottom w:w="120" w:type="dxa"/>
              <w:right w:w="200" w:type="dxa"/>
            </w:tcMar>
          </w:tcPr>
          <w:p w14:paraId="3E093637" w14:textId="77777777" w:rsidR="000E1F1B" w:rsidRDefault="00000000">
            <w:pPr>
              <w:spacing w:after="60"/>
            </w:pPr>
            <w:r>
              <w:rPr>
                <w:b/>
                <w:bCs/>
                <w:color w:val="3C3489"/>
                <w:sz w:val="20"/>
                <w:szCs w:val="20"/>
              </w:rPr>
              <w:t>Spécificité Afrique — Données alternatives</w:t>
            </w:r>
          </w:p>
          <w:p w14:paraId="0271A8DC" w14:textId="77777777" w:rsidR="000E1F1B" w:rsidRDefault="00000000">
            <w:pPr>
              <w:spacing w:before="20" w:after="20"/>
            </w:pPr>
            <w:r>
              <w:rPr>
                <w:color w:val="444444"/>
                <w:sz w:val="19"/>
                <w:szCs w:val="19"/>
              </w:rPr>
              <w:t>En l'absence d'historiques de crédit formels, Nexus Alpha exploite :</w:t>
            </w:r>
          </w:p>
          <w:p w14:paraId="5D67C155" w14:textId="77777777" w:rsidR="000E1F1B" w:rsidRDefault="00000000">
            <w:pPr>
              <w:spacing w:before="20" w:after="20"/>
            </w:pPr>
            <w:r>
              <w:rPr>
                <w:color w:val="444444"/>
                <w:sz w:val="19"/>
                <w:szCs w:val="19"/>
              </w:rPr>
              <w:t>• Données de mobile money : fréquence, montants, réseau de transactions</w:t>
            </w:r>
          </w:p>
          <w:p w14:paraId="7070C9AC" w14:textId="77777777" w:rsidR="000E1F1B" w:rsidRDefault="00000000">
            <w:pPr>
              <w:spacing w:before="20" w:after="20"/>
            </w:pPr>
            <w:r>
              <w:rPr>
                <w:color w:val="444444"/>
                <w:sz w:val="19"/>
                <w:szCs w:val="19"/>
              </w:rPr>
              <w:t>• Données téléphoniques : recharge, durée d'appels, comportement réseau</w:t>
            </w:r>
          </w:p>
          <w:p w14:paraId="31F5BCA1" w14:textId="77777777" w:rsidR="000E1F1B" w:rsidRDefault="00000000">
            <w:pPr>
              <w:spacing w:before="20" w:after="20"/>
            </w:pPr>
            <w:r>
              <w:rPr>
                <w:color w:val="444444"/>
                <w:sz w:val="19"/>
                <w:szCs w:val="19"/>
              </w:rPr>
              <w:t>• Données satellites : occupation des sols, activité agricole, densité d'infrastructures</w:t>
            </w:r>
          </w:p>
          <w:p w14:paraId="3B522AC1" w14:textId="77777777" w:rsidR="000E1F1B" w:rsidRDefault="00000000">
            <w:pPr>
              <w:spacing w:before="20" w:after="20"/>
            </w:pPr>
            <w:r>
              <w:rPr>
                <w:color w:val="444444"/>
                <w:sz w:val="19"/>
                <w:szCs w:val="19"/>
              </w:rPr>
              <w:t>• Données de e-commerce et de livraison pour les commerçants informels</w:t>
            </w:r>
          </w:p>
        </w:tc>
      </w:tr>
    </w:tbl>
    <w:p w14:paraId="3ECD9110" w14:textId="77777777" w:rsidR="000E1F1B" w:rsidRDefault="000E1F1B"/>
    <w:p w14:paraId="6F42F09F" w14:textId="77777777" w:rsidR="000E1F1B" w:rsidRDefault="00000000">
      <w:pPr>
        <w:pStyle w:val="Titre2"/>
      </w:pPr>
      <w:r>
        <w:t>5.2 — Data engineering &amp; architecture des données</w:t>
      </w:r>
    </w:p>
    <w:p w14:paraId="7615ED7C" w14:textId="77777777" w:rsidR="000E1F1B" w:rsidRDefault="00000000">
      <w:pPr>
        <w:spacing w:before="60" w:after="60"/>
      </w:pPr>
      <w:r>
        <w:rPr>
          <w:color w:val="333333"/>
        </w:rPr>
        <w:lastRenderedPageBreak/>
        <w:t>La qualité d'un modèle dépend avant tout de la qualité des données qui l'alimentent. Nexus Alpha accompagne ses clients dans la construction d'une infrastructure de données robuste et fiable.</w:t>
      </w:r>
    </w:p>
    <w:p w14:paraId="42449346" w14:textId="77777777" w:rsidR="000E1F1B" w:rsidRDefault="00000000">
      <w:pPr>
        <w:spacing w:before="180" w:after="60"/>
      </w:pPr>
      <w:r>
        <w:rPr>
          <w:b/>
          <w:bCs/>
          <w:color w:val="534AB7"/>
          <w:sz w:val="22"/>
          <w:szCs w:val="22"/>
        </w:rPr>
        <w:t>Audit &amp; nettoyage des données</w:t>
      </w:r>
    </w:p>
    <w:p w14:paraId="5BD2CD8D" w14:textId="77777777" w:rsidR="000E1F1B" w:rsidRDefault="00000000">
      <w:pPr>
        <w:pStyle w:val="Paragraphedeliste"/>
        <w:numPr>
          <w:ilvl w:val="0"/>
          <w:numId w:val="2"/>
        </w:numPr>
        <w:spacing w:before="40" w:after="40"/>
      </w:pPr>
      <w:r>
        <w:rPr>
          <w:color w:val="333333"/>
        </w:rPr>
        <w:t>Diagnostic de la qualité des données existantes : complétude, cohérence, exactitude, fraîcheur</w:t>
      </w:r>
    </w:p>
    <w:p w14:paraId="4124945B" w14:textId="77777777" w:rsidR="000E1F1B" w:rsidRDefault="00000000">
      <w:pPr>
        <w:pStyle w:val="Paragraphedeliste"/>
        <w:numPr>
          <w:ilvl w:val="0"/>
          <w:numId w:val="2"/>
        </w:numPr>
        <w:spacing w:before="40" w:after="40"/>
      </w:pPr>
      <w:r>
        <w:rPr>
          <w:color w:val="333333"/>
        </w:rPr>
        <w:t>Identification et traitement des doublons, valeurs aberrantes et données manquantes</w:t>
      </w:r>
    </w:p>
    <w:p w14:paraId="335C43BF" w14:textId="77777777" w:rsidR="000E1F1B" w:rsidRDefault="00000000">
      <w:pPr>
        <w:pStyle w:val="Paragraphedeliste"/>
        <w:numPr>
          <w:ilvl w:val="0"/>
          <w:numId w:val="2"/>
        </w:numPr>
        <w:spacing w:before="40" w:after="40"/>
      </w:pPr>
      <w:r>
        <w:rPr>
          <w:color w:val="333333"/>
        </w:rPr>
        <w:t>Standardisation des formats et des référentiels (identifiants clients, produits, agences)</w:t>
      </w:r>
    </w:p>
    <w:p w14:paraId="759FC44F" w14:textId="77777777" w:rsidR="000E1F1B" w:rsidRDefault="00000000">
      <w:pPr>
        <w:spacing w:before="180" w:after="60"/>
      </w:pPr>
      <w:r>
        <w:rPr>
          <w:b/>
          <w:bCs/>
          <w:color w:val="534AB7"/>
          <w:sz w:val="22"/>
          <w:szCs w:val="22"/>
        </w:rPr>
        <w:t>Pipelines de données</w:t>
      </w:r>
    </w:p>
    <w:p w14:paraId="0D3B074F" w14:textId="77777777" w:rsidR="000E1F1B" w:rsidRDefault="00000000">
      <w:pPr>
        <w:pStyle w:val="Paragraphedeliste"/>
        <w:numPr>
          <w:ilvl w:val="0"/>
          <w:numId w:val="2"/>
        </w:numPr>
        <w:spacing w:before="40" w:after="40"/>
      </w:pPr>
      <w:r>
        <w:rPr>
          <w:color w:val="333333"/>
        </w:rPr>
        <w:t>Conception des flux ETL (</w:t>
      </w:r>
      <w:proofErr w:type="spellStart"/>
      <w:r>
        <w:rPr>
          <w:color w:val="333333"/>
        </w:rPr>
        <w:t>Extract</w:t>
      </w:r>
      <w:proofErr w:type="spellEnd"/>
      <w:r>
        <w:rPr>
          <w:color w:val="333333"/>
        </w:rPr>
        <w:t xml:space="preserve">, Transform, </w:t>
      </w:r>
      <w:proofErr w:type="spellStart"/>
      <w:r>
        <w:rPr>
          <w:color w:val="333333"/>
        </w:rPr>
        <w:t>Load</w:t>
      </w:r>
      <w:proofErr w:type="spellEnd"/>
      <w:r>
        <w:rPr>
          <w:color w:val="333333"/>
        </w:rPr>
        <w:t>) pour alimenter les modèles de risque</w:t>
      </w:r>
    </w:p>
    <w:p w14:paraId="2C9417E0" w14:textId="77777777" w:rsidR="000E1F1B" w:rsidRDefault="00000000">
      <w:pPr>
        <w:pStyle w:val="Paragraphedeliste"/>
        <w:numPr>
          <w:ilvl w:val="0"/>
          <w:numId w:val="2"/>
        </w:numPr>
        <w:spacing w:before="40" w:after="40"/>
      </w:pPr>
      <w:r>
        <w:rPr>
          <w:color w:val="333333"/>
        </w:rPr>
        <w:t xml:space="preserve">Automatisation des extractions depuis les systèmes </w:t>
      </w:r>
      <w:proofErr w:type="spellStart"/>
      <w:r>
        <w:rPr>
          <w:color w:val="333333"/>
        </w:rPr>
        <w:t>core</w:t>
      </w:r>
      <w:proofErr w:type="spellEnd"/>
      <w:r>
        <w:rPr>
          <w:color w:val="333333"/>
        </w:rPr>
        <w:t xml:space="preserve"> </w:t>
      </w:r>
      <w:proofErr w:type="spellStart"/>
      <w:r>
        <w:rPr>
          <w:color w:val="333333"/>
        </w:rPr>
        <w:t>banking</w:t>
      </w:r>
      <w:proofErr w:type="spellEnd"/>
      <w:r>
        <w:rPr>
          <w:color w:val="333333"/>
        </w:rPr>
        <w:t xml:space="preserve"> (T24, </w:t>
      </w:r>
      <w:proofErr w:type="spellStart"/>
      <w:r>
        <w:rPr>
          <w:color w:val="333333"/>
        </w:rPr>
        <w:t>Flexcube</w:t>
      </w:r>
      <w:proofErr w:type="spellEnd"/>
      <w:r>
        <w:rPr>
          <w:color w:val="333333"/>
        </w:rPr>
        <w:t>, Amplitude)</w:t>
      </w:r>
    </w:p>
    <w:p w14:paraId="4864AC5D" w14:textId="77777777" w:rsidR="000E1F1B" w:rsidRDefault="00000000">
      <w:pPr>
        <w:pStyle w:val="Paragraphedeliste"/>
        <w:numPr>
          <w:ilvl w:val="0"/>
          <w:numId w:val="2"/>
        </w:numPr>
        <w:spacing w:before="40" w:after="40"/>
      </w:pPr>
      <w:r>
        <w:rPr>
          <w:color w:val="333333"/>
        </w:rPr>
        <w:t xml:space="preserve">Mise en place de datawarehouses ou </w:t>
      </w:r>
      <w:proofErr w:type="spellStart"/>
      <w:r>
        <w:rPr>
          <w:color w:val="333333"/>
        </w:rPr>
        <w:t>datalakes</w:t>
      </w:r>
      <w:proofErr w:type="spellEnd"/>
      <w:r>
        <w:rPr>
          <w:color w:val="333333"/>
        </w:rPr>
        <w:t xml:space="preserve"> adaptés à la taille de l'institution</w:t>
      </w:r>
    </w:p>
    <w:p w14:paraId="59354A45" w14:textId="77777777" w:rsidR="000E1F1B" w:rsidRDefault="00000000">
      <w:pPr>
        <w:pStyle w:val="Paragraphedeliste"/>
        <w:numPr>
          <w:ilvl w:val="0"/>
          <w:numId w:val="2"/>
        </w:numPr>
        <w:spacing w:before="40" w:after="40"/>
      </w:pPr>
      <w:r>
        <w:rPr>
          <w:color w:val="333333"/>
        </w:rPr>
        <w:t>Connexion aux sources de données alternatives (API mobile money, données macro BCEAO)</w:t>
      </w:r>
    </w:p>
    <w:p w14:paraId="6C6F14C7" w14:textId="77777777" w:rsidR="000E1F1B" w:rsidRDefault="00000000">
      <w:pPr>
        <w:spacing w:before="180" w:after="60"/>
      </w:pPr>
      <w:r>
        <w:rPr>
          <w:b/>
          <w:bCs/>
          <w:color w:val="534AB7"/>
          <w:sz w:val="22"/>
          <w:szCs w:val="22"/>
        </w:rPr>
        <w:t>Outils &amp; technologies</w:t>
      </w:r>
    </w:p>
    <w:p w14:paraId="7C7CFCB7" w14:textId="77777777" w:rsidR="000E1F1B" w:rsidRDefault="00000000">
      <w:pPr>
        <w:pStyle w:val="Paragraphedeliste"/>
        <w:numPr>
          <w:ilvl w:val="0"/>
          <w:numId w:val="2"/>
        </w:numPr>
        <w:spacing w:before="40" w:after="40"/>
      </w:pPr>
      <w:r>
        <w:rPr>
          <w:color w:val="333333"/>
        </w:rPr>
        <w:t xml:space="preserve">Python (pandas, </w:t>
      </w:r>
      <w:proofErr w:type="spellStart"/>
      <w:r>
        <w:rPr>
          <w:color w:val="333333"/>
        </w:rPr>
        <w:t>scikit-learn</w:t>
      </w:r>
      <w:proofErr w:type="spellEnd"/>
      <w:r>
        <w:rPr>
          <w:color w:val="333333"/>
        </w:rPr>
        <w:t xml:space="preserve">, </w:t>
      </w:r>
      <w:proofErr w:type="spellStart"/>
      <w:r>
        <w:rPr>
          <w:color w:val="333333"/>
        </w:rPr>
        <w:t>statsmodels</w:t>
      </w:r>
      <w:proofErr w:type="spellEnd"/>
      <w:r>
        <w:rPr>
          <w:color w:val="333333"/>
        </w:rPr>
        <w:t xml:space="preserve">, </w:t>
      </w:r>
      <w:proofErr w:type="spellStart"/>
      <w:r>
        <w:rPr>
          <w:color w:val="333333"/>
        </w:rPr>
        <w:t>PySpark</w:t>
      </w:r>
      <w:proofErr w:type="spellEnd"/>
      <w:r>
        <w:rPr>
          <w:color w:val="333333"/>
        </w:rPr>
        <w:t>) : traitement et modélisation</w:t>
      </w:r>
    </w:p>
    <w:p w14:paraId="61F8045F" w14:textId="77777777" w:rsidR="000E1F1B" w:rsidRDefault="00000000">
      <w:pPr>
        <w:pStyle w:val="Paragraphedeliste"/>
        <w:numPr>
          <w:ilvl w:val="0"/>
          <w:numId w:val="2"/>
        </w:numPr>
        <w:spacing w:before="40" w:after="40"/>
      </w:pPr>
      <w:r>
        <w:rPr>
          <w:color w:val="333333"/>
        </w:rPr>
        <w:t>R (</w:t>
      </w:r>
      <w:proofErr w:type="spellStart"/>
      <w:r>
        <w:rPr>
          <w:color w:val="333333"/>
        </w:rPr>
        <w:t>tidyverse</w:t>
      </w:r>
      <w:proofErr w:type="spellEnd"/>
      <w:r>
        <w:rPr>
          <w:color w:val="333333"/>
        </w:rPr>
        <w:t xml:space="preserve">, caret, </w:t>
      </w:r>
      <w:proofErr w:type="spellStart"/>
      <w:r>
        <w:rPr>
          <w:color w:val="333333"/>
        </w:rPr>
        <w:t>survival</w:t>
      </w:r>
      <w:proofErr w:type="spellEnd"/>
      <w:r>
        <w:rPr>
          <w:color w:val="333333"/>
        </w:rPr>
        <w:t>) : analyse statistique et modèles actuariels</w:t>
      </w:r>
    </w:p>
    <w:p w14:paraId="02CC8F26" w14:textId="77777777" w:rsidR="000E1F1B" w:rsidRDefault="00000000">
      <w:pPr>
        <w:pStyle w:val="Paragraphedeliste"/>
        <w:numPr>
          <w:ilvl w:val="0"/>
          <w:numId w:val="2"/>
        </w:numPr>
        <w:spacing w:before="40" w:after="40"/>
      </w:pPr>
      <w:r>
        <w:rPr>
          <w:color w:val="333333"/>
        </w:rPr>
        <w:t>SQL / PostgreSQL / MySQL : gestion des bases de données relationnelles</w:t>
      </w:r>
    </w:p>
    <w:p w14:paraId="7C9C6816" w14:textId="77777777" w:rsidR="000E1F1B" w:rsidRDefault="00000000">
      <w:pPr>
        <w:pStyle w:val="Paragraphedeliste"/>
        <w:numPr>
          <w:ilvl w:val="0"/>
          <w:numId w:val="2"/>
        </w:numPr>
        <w:spacing w:before="40" w:after="40"/>
      </w:pPr>
      <w:r>
        <w:rPr>
          <w:color w:val="333333"/>
        </w:rPr>
        <w:t xml:space="preserve">Power BI / Tableau / </w:t>
      </w:r>
      <w:proofErr w:type="spellStart"/>
      <w:r>
        <w:rPr>
          <w:color w:val="333333"/>
        </w:rPr>
        <w:t>Streamlit</w:t>
      </w:r>
      <w:proofErr w:type="spellEnd"/>
      <w:r>
        <w:rPr>
          <w:color w:val="333333"/>
        </w:rPr>
        <w:t xml:space="preserve"> : visualisation et </w:t>
      </w:r>
      <w:proofErr w:type="spellStart"/>
      <w:r>
        <w:rPr>
          <w:color w:val="333333"/>
        </w:rPr>
        <w:t>dashboards</w:t>
      </w:r>
      <w:proofErr w:type="spellEnd"/>
      <w:r>
        <w:rPr>
          <w:color w:val="333333"/>
        </w:rPr>
        <w:t xml:space="preserve"> interactifs</w:t>
      </w:r>
    </w:p>
    <w:p w14:paraId="1752188C" w14:textId="77777777" w:rsidR="000E1F1B" w:rsidRDefault="000E1F1B"/>
    <w:p w14:paraId="43846357" w14:textId="77777777" w:rsidR="000E1F1B" w:rsidRDefault="00000000">
      <w:pPr>
        <w:pStyle w:val="Titre2"/>
      </w:pPr>
      <w:r>
        <w:t xml:space="preserve">5.3 — Tableaux de bord &amp; </w:t>
      </w:r>
      <w:proofErr w:type="spellStart"/>
      <w:r>
        <w:t>reporting</w:t>
      </w:r>
      <w:proofErr w:type="spellEnd"/>
      <w:r>
        <w:t xml:space="preserve"> décisionnel</w:t>
      </w:r>
    </w:p>
    <w:p w14:paraId="48E3C816" w14:textId="77777777" w:rsidR="000E1F1B" w:rsidRDefault="00000000">
      <w:pPr>
        <w:spacing w:before="60" w:after="60"/>
      </w:pPr>
      <w:r>
        <w:rPr>
          <w:color w:val="333333"/>
        </w:rPr>
        <w:t>Les modèles ne créent de valeur que s'ils sont traduits en informations actionnables pour les décideurs. Nexus Alpha conçoit des tableaux de bord sur mesure, adaptés à chaque niveau hiérarchique.</w:t>
      </w:r>
    </w:p>
    <w:p w14:paraId="657FD8C5" w14:textId="77777777" w:rsidR="000E1F1B" w:rsidRDefault="00000000">
      <w:pPr>
        <w:spacing w:before="180" w:after="60"/>
      </w:pPr>
      <w:r>
        <w:rPr>
          <w:b/>
          <w:bCs/>
          <w:color w:val="534AB7"/>
          <w:sz w:val="22"/>
          <w:szCs w:val="22"/>
        </w:rPr>
        <w:t>Dashboard risque pour le Comité de Direction</w:t>
      </w:r>
    </w:p>
    <w:p w14:paraId="74ABE32B" w14:textId="77777777" w:rsidR="000E1F1B" w:rsidRDefault="00000000">
      <w:pPr>
        <w:pStyle w:val="Paragraphedeliste"/>
        <w:numPr>
          <w:ilvl w:val="0"/>
          <w:numId w:val="2"/>
        </w:numPr>
        <w:spacing w:before="40" w:after="40"/>
      </w:pPr>
      <w:r>
        <w:rPr>
          <w:color w:val="333333"/>
        </w:rPr>
        <w:t>Indicateurs synthétiques : NPL ratio, coût du risque, couverture des provisions, CAR</w:t>
      </w:r>
    </w:p>
    <w:p w14:paraId="0136CE27" w14:textId="77777777" w:rsidR="000E1F1B" w:rsidRDefault="00000000">
      <w:pPr>
        <w:pStyle w:val="Paragraphedeliste"/>
        <w:numPr>
          <w:ilvl w:val="0"/>
          <w:numId w:val="2"/>
        </w:numPr>
        <w:spacing w:before="40" w:after="40"/>
      </w:pPr>
      <w:r>
        <w:rPr>
          <w:color w:val="333333"/>
        </w:rPr>
        <w:t>Alertes en temps réel sur les seuils critiques</w:t>
      </w:r>
    </w:p>
    <w:p w14:paraId="2E8F6671" w14:textId="77777777" w:rsidR="000E1F1B" w:rsidRDefault="00000000">
      <w:pPr>
        <w:pStyle w:val="Paragraphedeliste"/>
        <w:numPr>
          <w:ilvl w:val="0"/>
          <w:numId w:val="2"/>
        </w:numPr>
        <w:spacing w:before="40" w:after="40"/>
      </w:pPr>
      <w:r>
        <w:rPr>
          <w:color w:val="333333"/>
        </w:rPr>
        <w:t>Évolution mensuelle des métriques clés avec comparaison budgétaire</w:t>
      </w:r>
    </w:p>
    <w:p w14:paraId="4E59C056" w14:textId="77777777" w:rsidR="000E1F1B" w:rsidRDefault="00000000">
      <w:pPr>
        <w:spacing w:before="180" w:after="60"/>
      </w:pPr>
      <w:r>
        <w:rPr>
          <w:b/>
          <w:bCs/>
          <w:color w:val="534AB7"/>
          <w:sz w:val="22"/>
          <w:szCs w:val="22"/>
        </w:rPr>
        <w:t>Dashboard opérationnel pour les équipes risque</w:t>
      </w:r>
    </w:p>
    <w:p w14:paraId="64348CED" w14:textId="77777777" w:rsidR="000E1F1B" w:rsidRDefault="00000000">
      <w:pPr>
        <w:pStyle w:val="Paragraphedeliste"/>
        <w:numPr>
          <w:ilvl w:val="0"/>
          <w:numId w:val="2"/>
        </w:numPr>
        <w:spacing w:before="40" w:after="40"/>
      </w:pPr>
      <w:r>
        <w:rPr>
          <w:color w:val="333333"/>
        </w:rPr>
        <w:t>Suivi du portefeuille par segment, agence, chargé de compte</w:t>
      </w:r>
    </w:p>
    <w:p w14:paraId="4F0F54FC" w14:textId="77777777" w:rsidR="000E1F1B" w:rsidRDefault="00000000">
      <w:pPr>
        <w:pStyle w:val="Paragraphedeliste"/>
        <w:numPr>
          <w:ilvl w:val="0"/>
          <w:numId w:val="2"/>
        </w:numPr>
        <w:spacing w:before="40" w:after="40"/>
      </w:pPr>
      <w:r>
        <w:rPr>
          <w:color w:val="333333"/>
        </w:rPr>
        <w:t>Identification des clients passant en Stage 2 (IFRS 9)</w:t>
      </w:r>
    </w:p>
    <w:p w14:paraId="1A3C2F2D" w14:textId="77777777" w:rsidR="000E1F1B" w:rsidRDefault="00000000">
      <w:pPr>
        <w:pStyle w:val="Paragraphedeliste"/>
        <w:numPr>
          <w:ilvl w:val="0"/>
          <w:numId w:val="2"/>
        </w:numPr>
        <w:spacing w:before="40" w:after="40"/>
      </w:pPr>
      <w:r>
        <w:rPr>
          <w:color w:val="333333"/>
        </w:rPr>
        <w:t>Tableau de bord des modèles : performance et stabilité en continu</w:t>
      </w:r>
    </w:p>
    <w:p w14:paraId="11EA8CD8" w14:textId="77777777" w:rsidR="000E1F1B" w:rsidRDefault="00000000">
      <w:pPr>
        <w:spacing w:before="180" w:after="60"/>
      </w:pPr>
      <w:proofErr w:type="spellStart"/>
      <w:r>
        <w:rPr>
          <w:b/>
          <w:bCs/>
          <w:color w:val="534AB7"/>
          <w:sz w:val="22"/>
          <w:szCs w:val="22"/>
        </w:rPr>
        <w:t>Reporting</w:t>
      </w:r>
      <w:proofErr w:type="spellEnd"/>
      <w:r>
        <w:rPr>
          <w:b/>
          <w:bCs/>
          <w:color w:val="534AB7"/>
          <w:sz w:val="22"/>
          <w:szCs w:val="22"/>
        </w:rPr>
        <w:t xml:space="preserve"> réglementaire automatisé</w:t>
      </w:r>
    </w:p>
    <w:p w14:paraId="6E29F67C" w14:textId="77777777" w:rsidR="000E1F1B" w:rsidRDefault="00000000">
      <w:pPr>
        <w:pStyle w:val="Paragraphedeliste"/>
        <w:numPr>
          <w:ilvl w:val="0"/>
          <w:numId w:val="2"/>
        </w:numPr>
        <w:spacing w:before="40" w:after="40"/>
      </w:pPr>
      <w:r>
        <w:rPr>
          <w:color w:val="333333"/>
        </w:rPr>
        <w:t>États COREP / FINREP pour les filiales de groupes européens</w:t>
      </w:r>
    </w:p>
    <w:p w14:paraId="5AE1DFD7" w14:textId="77777777" w:rsidR="000E1F1B" w:rsidRDefault="00000000">
      <w:pPr>
        <w:pStyle w:val="Paragraphedeliste"/>
        <w:numPr>
          <w:ilvl w:val="0"/>
          <w:numId w:val="2"/>
        </w:numPr>
        <w:spacing w:before="40" w:after="40"/>
      </w:pPr>
      <w:proofErr w:type="spellStart"/>
      <w:r>
        <w:rPr>
          <w:color w:val="333333"/>
        </w:rPr>
        <w:t>Reporting</w:t>
      </w:r>
      <w:proofErr w:type="spellEnd"/>
      <w:r>
        <w:rPr>
          <w:color w:val="333333"/>
        </w:rPr>
        <w:t xml:space="preserve"> prudentiel BCEAO / BEAC : ratios de solvabilité, de liquidité, de couverture des risques</w:t>
      </w:r>
    </w:p>
    <w:p w14:paraId="2655316B" w14:textId="77777777" w:rsidR="000E1F1B" w:rsidRDefault="00000000">
      <w:pPr>
        <w:pStyle w:val="Paragraphedeliste"/>
        <w:numPr>
          <w:ilvl w:val="0"/>
          <w:numId w:val="2"/>
        </w:numPr>
        <w:spacing w:before="40" w:after="40"/>
      </w:pPr>
      <w:r>
        <w:rPr>
          <w:color w:val="333333"/>
        </w:rPr>
        <w:t xml:space="preserve">Automatisation de la production des </w:t>
      </w:r>
      <w:proofErr w:type="spellStart"/>
      <w:r>
        <w:rPr>
          <w:color w:val="333333"/>
        </w:rPr>
        <w:t>reportings</w:t>
      </w:r>
      <w:proofErr w:type="spellEnd"/>
      <w:r>
        <w:rPr>
          <w:color w:val="333333"/>
        </w:rPr>
        <w:t xml:space="preserve"> récurrents pour réduire les délais et les erreurs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66A6421C" w14:textId="77777777">
        <w:tc>
          <w:tcPr>
            <w:tcW w:w="9360" w:type="dxa"/>
            <w:tcBorders>
              <w:top w:val="single" w:sz="4" w:space="0" w:color="534AB7"/>
              <w:left w:val="single" w:sz="12" w:space="0" w:color="534AB7"/>
              <w:bottom w:val="none" w:sz="0" w:space="0" w:color="FFFFFF"/>
              <w:right w:val="none" w:sz="0" w:space="0" w:color="FFFFFF"/>
            </w:tcBorders>
            <w:shd w:val="clear" w:color="auto" w:fill="EEEDFE"/>
            <w:tcMar>
              <w:top w:w="120" w:type="dxa"/>
              <w:left w:w="200" w:type="dxa"/>
              <w:bottom w:w="120" w:type="dxa"/>
              <w:right w:w="200" w:type="dxa"/>
            </w:tcMar>
          </w:tcPr>
          <w:p w14:paraId="2D55A872" w14:textId="77777777" w:rsidR="000E1F1B" w:rsidRDefault="00000000">
            <w:pPr>
              <w:spacing w:after="60"/>
            </w:pPr>
            <w:r>
              <w:rPr>
                <w:b/>
                <w:bCs/>
                <w:color w:val="3C3489"/>
                <w:sz w:val="20"/>
                <w:szCs w:val="20"/>
              </w:rPr>
              <w:t xml:space="preserve">Livrables — Data science &amp; </w:t>
            </w:r>
            <w:proofErr w:type="spellStart"/>
            <w:r>
              <w:rPr>
                <w:b/>
                <w:bCs/>
                <w:color w:val="3C3489"/>
                <w:sz w:val="20"/>
                <w:szCs w:val="20"/>
              </w:rPr>
              <w:t>reporting</w:t>
            </w:r>
            <w:proofErr w:type="spellEnd"/>
          </w:p>
          <w:p w14:paraId="4A2BD755" w14:textId="77777777" w:rsidR="000E1F1B" w:rsidRDefault="00000000">
            <w:pPr>
              <w:spacing w:before="20" w:after="20"/>
            </w:pPr>
            <w:r>
              <w:rPr>
                <w:color w:val="444444"/>
                <w:sz w:val="19"/>
                <w:szCs w:val="19"/>
              </w:rPr>
              <w:t>• Modèle ML documenté, validé et mis en production</w:t>
            </w:r>
          </w:p>
          <w:p w14:paraId="0EF0C162" w14:textId="77777777" w:rsidR="000E1F1B" w:rsidRDefault="00000000">
            <w:pPr>
              <w:spacing w:before="20" w:after="20"/>
            </w:pPr>
            <w:r>
              <w:rPr>
                <w:color w:val="444444"/>
                <w:sz w:val="19"/>
                <w:szCs w:val="19"/>
              </w:rPr>
              <w:t>• Pipeline de données automatisé et auditable</w:t>
            </w:r>
          </w:p>
          <w:p w14:paraId="4537767D" w14:textId="77777777" w:rsidR="000E1F1B" w:rsidRDefault="00000000">
            <w:pPr>
              <w:spacing w:before="20" w:after="20"/>
            </w:pPr>
            <w:r>
              <w:rPr>
                <w:color w:val="444444"/>
                <w:sz w:val="19"/>
                <w:szCs w:val="19"/>
              </w:rPr>
              <w:t xml:space="preserve">• Dashboard interactif Power BI / </w:t>
            </w:r>
            <w:proofErr w:type="spellStart"/>
            <w:r>
              <w:rPr>
                <w:color w:val="444444"/>
                <w:sz w:val="19"/>
                <w:szCs w:val="19"/>
              </w:rPr>
              <w:t>Streamlit</w:t>
            </w:r>
            <w:proofErr w:type="spellEnd"/>
            <w:r>
              <w:rPr>
                <w:color w:val="444444"/>
                <w:sz w:val="19"/>
                <w:szCs w:val="19"/>
              </w:rPr>
              <w:t xml:space="preserve"> pour les équipes</w:t>
            </w:r>
          </w:p>
          <w:p w14:paraId="7BC9617D" w14:textId="77777777" w:rsidR="000E1F1B" w:rsidRDefault="00000000">
            <w:pPr>
              <w:spacing w:before="20" w:after="20"/>
            </w:pPr>
            <w:r>
              <w:rPr>
                <w:color w:val="444444"/>
                <w:sz w:val="19"/>
                <w:szCs w:val="19"/>
              </w:rPr>
              <w:t xml:space="preserve">• Rapport de </w:t>
            </w:r>
            <w:proofErr w:type="spellStart"/>
            <w:r>
              <w:rPr>
                <w:color w:val="444444"/>
                <w:sz w:val="19"/>
                <w:szCs w:val="19"/>
              </w:rPr>
              <w:t>reporting</w:t>
            </w:r>
            <w:proofErr w:type="spellEnd"/>
            <w:r>
              <w:rPr>
                <w:color w:val="444444"/>
                <w:sz w:val="19"/>
                <w:szCs w:val="19"/>
              </w:rPr>
              <w:t xml:space="preserve"> réglementaire automatisé</w:t>
            </w:r>
          </w:p>
          <w:p w14:paraId="77ADEE92" w14:textId="77777777" w:rsidR="000E1F1B" w:rsidRDefault="00000000">
            <w:pPr>
              <w:spacing w:before="20" w:after="20"/>
            </w:pPr>
            <w:r>
              <w:rPr>
                <w:color w:val="444444"/>
                <w:sz w:val="19"/>
                <w:szCs w:val="19"/>
              </w:rPr>
              <w:t>• Manuel utilisateur et formation des équipes</w:t>
            </w:r>
          </w:p>
        </w:tc>
      </w:tr>
    </w:tbl>
    <w:p w14:paraId="13431BBE" w14:textId="77777777" w:rsidR="000E1F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5D8B6528" w14:textId="77777777">
        <w:tc>
          <w:tcPr>
            <w:tcW w:w="9360" w:type="dxa"/>
            <w:tcBorders>
              <w:top w:val="none" w:sz="0" w:space="0" w:color="FFFFFF"/>
              <w:left w:val="none" w:sz="0" w:space="0" w:color="FFFFFF"/>
              <w:bottom w:val="none" w:sz="0" w:space="0" w:color="FFFFFF"/>
              <w:right w:val="none" w:sz="0" w:space="0" w:color="FFFFFF"/>
            </w:tcBorders>
            <w:shd w:val="clear" w:color="auto" w:fill="1D9E75"/>
            <w:tcMar>
              <w:top w:w="200" w:type="dxa"/>
              <w:left w:w="300" w:type="dxa"/>
              <w:bottom w:w="200" w:type="dxa"/>
              <w:right w:w="300" w:type="dxa"/>
            </w:tcMar>
          </w:tcPr>
          <w:p w14:paraId="108C0D43" w14:textId="77777777" w:rsidR="000E1F1B" w:rsidRDefault="00000000">
            <w:r>
              <w:rPr>
                <w:color w:val="FFFFFF"/>
                <w:sz w:val="18"/>
                <w:szCs w:val="18"/>
              </w:rPr>
              <w:lastRenderedPageBreak/>
              <w:t>PÔLE 6</w:t>
            </w:r>
          </w:p>
          <w:p w14:paraId="67E57085" w14:textId="77777777" w:rsidR="000E1F1B" w:rsidRDefault="00000000">
            <w:r>
              <w:rPr>
                <w:b/>
                <w:bCs/>
                <w:color w:val="FFFFFF"/>
                <w:sz w:val="40"/>
                <w:szCs w:val="40"/>
              </w:rPr>
              <w:t>Conseil stratégique &amp; Formation</w:t>
            </w:r>
          </w:p>
          <w:p w14:paraId="681A8C75" w14:textId="77777777" w:rsidR="000E1F1B" w:rsidRDefault="00000000">
            <w:r>
              <w:rPr>
                <w:i/>
                <w:iCs/>
                <w:color w:val="FFFFFF"/>
                <w:sz w:val="22"/>
                <w:szCs w:val="22"/>
              </w:rPr>
              <w:t>Gouvernance · Stratégie · Transfert de compétences</w:t>
            </w:r>
          </w:p>
        </w:tc>
      </w:tr>
    </w:tbl>
    <w:p w14:paraId="47B484A6" w14:textId="77777777" w:rsidR="000E1F1B" w:rsidRDefault="000E1F1B"/>
    <w:p w14:paraId="7351BB54" w14:textId="77777777" w:rsidR="000E1F1B" w:rsidRDefault="00000000">
      <w:pPr>
        <w:pStyle w:val="Titre2"/>
      </w:pPr>
      <w:r>
        <w:t>Présentation générale</w:t>
      </w:r>
    </w:p>
    <w:p w14:paraId="218C7C5B" w14:textId="77777777" w:rsidR="000E1F1B" w:rsidRDefault="00000000">
      <w:pPr>
        <w:spacing w:before="60" w:after="60"/>
      </w:pPr>
      <w:r>
        <w:rPr>
          <w:color w:val="333333"/>
        </w:rPr>
        <w:t xml:space="preserve">Ce pôle remplit deux fonctions complémentaires : d'une part, accompagner les organisations dans la définition et la mise en </w:t>
      </w:r>
      <w:proofErr w:type="spellStart"/>
      <w:r>
        <w:rPr>
          <w:color w:val="333333"/>
        </w:rPr>
        <w:t>oeuvre</w:t>
      </w:r>
      <w:proofErr w:type="spellEnd"/>
      <w:r>
        <w:rPr>
          <w:color w:val="333333"/>
        </w:rPr>
        <w:t xml:space="preserve"> de leur stratégie de gestion des risques ; d'autre part, renforcer durablement les compétences des équipes locales pour réduire leur dépendance aux consultants externes.</w:t>
      </w:r>
    </w:p>
    <w:p w14:paraId="258B65D5" w14:textId="77777777" w:rsidR="000E1F1B" w:rsidRDefault="00000000">
      <w:pPr>
        <w:spacing w:before="60" w:after="60"/>
      </w:pPr>
      <w:r>
        <w:rPr>
          <w:color w:val="333333"/>
        </w:rPr>
        <w:t>En Afrique francophone, le déficit de compétences quantitatives est un frein majeur. Nexus Alpha se positionne comme un partenaire de long terme qui forme autant qu'il conseille.</w:t>
      </w:r>
    </w:p>
    <w:p w14:paraId="6FCE6DC0" w14:textId="77777777" w:rsidR="000E1F1B" w:rsidRDefault="000E1F1B"/>
    <w:p w14:paraId="5D5542A1" w14:textId="77777777" w:rsidR="000E1F1B" w:rsidRDefault="00000000">
      <w:pPr>
        <w:pStyle w:val="Titre2"/>
      </w:pPr>
      <w:r>
        <w:t>6.1 — Conseil en stratégie de gestion des risques</w:t>
      </w:r>
    </w:p>
    <w:p w14:paraId="2AE9F946" w14:textId="77777777" w:rsidR="000E1F1B" w:rsidRDefault="00000000">
      <w:pPr>
        <w:spacing w:before="180" w:after="60"/>
      </w:pPr>
      <w:r>
        <w:rPr>
          <w:b/>
          <w:bCs/>
          <w:color w:val="534AB7"/>
          <w:sz w:val="22"/>
          <w:szCs w:val="22"/>
        </w:rPr>
        <w:t>Diagnostic du dispositif de risque</w:t>
      </w:r>
    </w:p>
    <w:p w14:paraId="6D0CC3A6" w14:textId="77777777" w:rsidR="000E1F1B" w:rsidRDefault="00000000">
      <w:pPr>
        <w:pStyle w:val="Paragraphedeliste"/>
        <w:numPr>
          <w:ilvl w:val="0"/>
          <w:numId w:val="2"/>
        </w:numPr>
        <w:spacing w:before="40" w:after="40"/>
      </w:pPr>
      <w:r>
        <w:rPr>
          <w:color w:val="333333"/>
        </w:rPr>
        <w:t>Évaluation de la maturité du dispositif de gestion des risques (</w:t>
      </w:r>
      <w:proofErr w:type="spellStart"/>
      <w:r>
        <w:rPr>
          <w:color w:val="333333"/>
        </w:rPr>
        <w:t>Maturity</w:t>
      </w:r>
      <w:proofErr w:type="spellEnd"/>
      <w:r>
        <w:rPr>
          <w:color w:val="333333"/>
        </w:rPr>
        <w:t xml:space="preserve"> </w:t>
      </w:r>
      <w:proofErr w:type="spellStart"/>
      <w:r>
        <w:rPr>
          <w:color w:val="333333"/>
        </w:rPr>
        <w:t>Assessment</w:t>
      </w:r>
      <w:proofErr w:type="spellEnd"/>
      <w:r>
        <w:rPr>
          <w:color w:val="333333"/>
        </w:rPr>
        <w:t>)</w:t>
      </w:r>
    </w:p>
    <w:p w14:paraId="1DBAB39D" w14:textId="77777777" w:rsidR="000E1F1B" w:rsidRDefault="00000000">
      <w:pPr>
        <w:pStyle w:val="Paragraphedeliste"/>
        <w:numPr>
          <w:ilvl w:val="0"/>
          <w:numId w:val="2"/>
        </w:numPr>
        <w:spacing w:before="40" w:after="40"/>
      </w:pPr>
      <w:r>
        <w:rPr>
          <w:color w:val="333333"/>
        </w:rPr>
        <w:t>Benchmark avec les meilleures pratiques régionales et internationales</w:t>
      </w:r>
    </w:p>
    <w:p w14:paraId="1E894EB3" w14:textId="77777777" w:rsidR="000E1F1B" w:rsidRDefault="00000000">
      <w:pPr>
        <w:pStyle w:val="Paragraphedeliste"/>
        <w:numPr>
          <w:ilvl w:val="0"/>
          <w:numId w:val="2"/>
        </w:numPr>
        <w:spacing w:before="40" w:after="40"/>
      </w:pPr>
      <w:r>
        <w:rPr>
          <w:color w:val="333333"/>
        </w:rPr>
        <w:t>Identification des lacunes réglementaires, organisationnelles et techniques</w:t>
      </w:r>
    </w:p>
    <w:p w14:paraId="149CF981" w14:textId="77777777" w:rsidR="000E1F1B" w:rsidRDefault="00000000">
      <w:pPr>
        <w:pStyle w:val="Paragraphedeliste"/>
        <w:numPr>
          <w:ilvl w:val="0"/>
          <w:numId w:val="2"/>
        </w:numPr>
        <w:spacing w:before="40" w:after="40"/>
      </w:pPr>
      <w:r>
        <w:rPr>
          <w:color w:val="333333"/>
        </w:rPr>
        <w:t>Feuille de route de mise en conformité avec recommandations priorisées</w:t>
      </w:r>
    </w:p>
    <w:p w14:paraId="651C807C" w14:textId="77777777" w:rsidR="000E1F1B" w:rsidRDefault="00000000">
      <w:pPr>
        <w:spacing w:before="180" w:after="60"/>
      </w:pPr>
      <w:r>
        <w:rPr>
          <w:b/>
          <w:bCs/>
          <w:color w:val="534AB7"/>
          <w:sz w:val="22"/>
          <w:szCs w:val="22"/>
        </w:rPr>
        <w:t>Définition de l'appétit au risque</w:t>
      </w:r>
    </w:p>
    <w:p w14:paraId="1179FED9" w14:textId="77777777" w:rsidR="000E1F1B" w:rsidRDefault="00000000">
      <w:pPr>
        <w:pStyle w:val="Paragraphedeliste"/>
        <w:numPr>
          <w:ilvl w:val="0"/>
          <w:numId w:val="2"/>
        </w:numPr>
        <w:spacing w:before="40" w:after="40"/>
      </w:pPr>
      <w:r>
        <w:rPr>
          <w:color w:val="333333"/>
        </w:rPr>
        <w:t>Accompagnement du Conseil d'Administration dans la définition formelle de l'appétit au risque</w:t>
      </w:r>
    </w:p>
    <w:p w14:paraId="10329098" w14:textId="77777777" w:rsidR="000E1F1B" w:rsidRDefault="00000000">
      <w:pPr>
        <w:pStyle w:val="Paragraphedeliste"/>
        <w:numPr>
          <w:ilvl w:val="0"/>
          <w:numId w:val="2"/>
        </w:numPr>
        <w:spacing w:before="40" w:after="40"/>
      </w:pPr>
      <w:r>
        <w:rPr>
          <w:color w:val="333333"/>
        </w:rPr>
        <w:t xml:space="preserve">Traduction en métriques quantitatives : </w:t>
      </w:r>
      <w:proofErr w:type="spellStart"/>
      <w:r>
        <w:rPr>
          <w:color w:val="333333"/>
        </w:rPr>
        <w:t>VaR</w:t>
      </w:r>
      <w:proofErr w:type="spellEnd"/>
      <w:r>
        <w:rPr>
          <w:color w:val="333333"/>
        </w:rPr>
        <w:t xml:space="preserve"> limite, NPL cible, ratio de solvabilité minimum</w:t>
      </w:r>
    </w:p>
    <w:p w14:paraId="7EE1CED0" w14:textId="77777777" w:rsidR="000E1F1B" w:rsidRDefault="00000000">
      <w:pPr>
        <w:pStyle w:val="Paragraphedeliste"/>
        <w:numPr>
          <w:ilvl w:val="0"/>
          <w:numId w:val="2"/>
        </w:numPr>
        <w:spacing w:before="40" w:after="40"/>
      </w:pPr>
      <w:r>
        <w:rPr>
          <w:color w:val="333333"/>
        </w:rPr>
        <w:t>Cascade des limites aux niveaux opérationnels (portefeuille, segment, agence)</w:t>
      </w:r>
    </w:p>
    <w:p w14:paraId="37C7F939" w14:textId="77777777" w:rsidR="000E1F1B" w:rsidRDefault="00000000">
      <w:pPr>
        <w:pStyle w:val="Paragraphedeliste"/>
        <w:numPr>
          <w:ilvl w:val="0"/>
          <w:numId w:val="2"/>
        </w:numPr>
        <w:spacing w:before="40" w:after="40"/>
      </w:pPr>
      <w:r>
        <w:rPr>
          <w:color w:val="333333"/>
        </w:rPr>
        <w:t>Mise en place des mécanismes de surveillance et d'escalade</w:t>
      </w:r>
    </w:p>
    <w:p w14:paraId="0DB0DCB2" w14:textId="77777777" w:rsidR="000E1F1B" w:rsidRDefault="00000000">
      <w:pPr>
        <w:spacing w:before="180" w:after="60"/>
      </w:pPr>
      <w:r>
        <w:rPr>
          <w:b/>
          <w:bCs/>
          <w:color w:val="534AB7"/>
          <w:sz w:val="22"/>
          <w:szCs w:val="22"/>
        </w:rPr>
        <w:t>Gouvernance &amp; organisation de la fonction risque</w:t>
      </w:r>
    </w:p>
    <w:p w14:paraId="550F5C19" w14:textId="77777777" w:rsidR="000E1F1B" w:rsidRDefault="00000000">
      <w:pPr>
        <w:pStyle w:val="Paragraphedeliste"/>
        <w:numPr>
          <w:ilvl w:val="0"/>
          <w:numId w:val="2"/>
        </w:numPr>
        <w:spacing w:before="40" w:after="40"/>
      </w:pPr>
      <w:r>
        <w:rPr>
          <w:color w:val="333333"/>
        </w:rPr>
        <w:t>Conception de la structure organisationnelle de la Direction des Risques</w:t>
      </w:r>
    </w:p>
    <w:p w14:paraId="494D1734" w14:textId="77777777" w:rsidR="000E1F1B" w:rsidRDefault="00000000">
      <w:pPr>
        <w:pStyle w:val="Paragraphedeliste"/>
        <w:numPr>
          <w:ilvl w:val="0"/>
          <w:numId w:val="2"/>
        </w:numPr>
        <w:spacing w:before="40" w:after="40"/>
      </w:pPr>
      <w:r>
        <w:rPr>
          <w:color w:val="333333"/>
        </w:rPr>
        <w:t>Définition des rôles et responsabilités (3 lignes de défense)</w:t>
      </w:r>
    </w:p>
    <w:p w14:paraId="2D8003DA" w14:textId="77777777" w:rsidR="000E1F1B" w:rsidRDefault="00000000">
      <w:pPr>
        <w:pStyle w:val="Paragraphedeliste"/>
        <w:numPr>
          <w:ilvl w:val="0"/>
          <w:numId w:val="2"/>
        </w:numPr>
        <w:spacing w:before="40" w:after="40"/>
      </w:pPr>
      <w:r>
        <w:rPr>
          <w:color w:val="333333"/>
        </w:rPr>
        <w:t>Élaboration des politiques et procédures de gestion des risques</w:t>
      </w:r>
    </w:p>
    <w:p w14:paraId="2320937F" w14:textId="77777777" w:rsidR="000E1F1B" w:rsidRDefault="00000000">
      <w:pPr>
        <w:pStyle w:val="Paragraphedeliste"/>
        <w:numPr>
          <w:ilvl w:val="0"/>
          <w:numId w:val="2"/>
        </w:numPr>
        <w:spacing w:before="40" w:after="40"/>
      </w:pPr>
      <w:r>
        <w:rPr>
          <w:color w:val="333333"/>
        </w:rPr>
        <w:t>Appui à la mise en place du Comité des Risques (composition, charte, fréquence)</w:t>
      </w:r>
    </w:p>
    <w:p w14:paraId="33C725B0" w14:textId="77777777" w:rsidR="000E1F1B" w:rsidRDefault="00000000">
      <w:pPr>
        <w:spacing w:before="180" w:after="60"/>
      </w:pPr>
      <w:r>
        <w:rPr>
          <w:b/>
          <w:bCs/>
          <w:color w:val="534AB7"/>
          <w:sz w:val="22"/>
          <w:szCs w:val="22"/>
        </w:rPr>
        <w:t>Accompagnement réglementaire</w:t>
      </w:r>
    </w:p>
    <w:p w14:paraId="79FD8D67" w14:textId="77777777" w:rsidR="000E1F1B" w:rsidRDefault="00000000">
      <w:pPr>
        <w:pStyle w:val="Paragraphedeliste"/>
        <w:numPr>
          <w:ilvl w:val="0"/>
          <w:numId w:val="2"/>
        </w:numPr>
        <w:spacing w:before="40" w:after="40"/>
      </w:pPr>
      <w:r>
        <w:rPr>
          <w:color w:val="333333"/>
        </w:rPr>
        <w:t>Préparation aux missions d'inspection des régulateurs (BCEAO, COBAC, CRCA)</w:t>
      </w:r>
    </w:p>
    <w:p w14:paraId="0F2698AA" w14:textId="77777777" w:rsidR="000E1F1B" w:rsidRDefault="00000000">
      <w:pPr>
        <w:pStyle w:val="Paragraphedeliste"/>
        <w:numPr>
          <w:ilvl w:val="0"/>
          <w:numId w:val="2"/>
        </w:numPr>
        <w:spacing w:before="40" w:after="40"/>
      </w:pPr>
      <w:r>
        <w:rPr>
          <w:color w:val="333333"/>
        </w:rPr>
        <w:t>Réponse aux lettres de suite et plans de remédiation</w:t>
      </w:r>
    </w:p>
    <w:p w14:paraId="56BB6921" w14:textId="77777777" w:rsidR="000E1F1B" w:rsidRDefault="00000000">
      <w:pPr>
        <w:pStyle w:val="Paragraphedeliste"/>
        <w:numPr>
          <w:ilvl w:val="0"/>
          <w:numId w:val="2"/>
        </w:numPr>
        <w:spacing w:before="40" w:after="40"/>
      </w:pPr>
      <w:r>
        <w:rPr>
          <w:color w:val="333333"/>
        </w:rPr>
        <w:t>Veille réglementaire : suivi des évolutions Bâle IV, IFRS, normes BCEAO</w:t>
      </w:r>
    </w:p>
    <w:p w14:paraId="6EBCF9BE" w14:textId="77777777" w:rsidR="000E1F1B" w:rsidRDefault="00000000">
      <w:pPr>
        <w:pStyle w:val="Paragraphedeliste"/>
        <w:numPr>
          <w:ilvl w:val="0"/>
          <w:numId w:val="2"/>
        </w:numPr>
        <w:spacing w:before="40" w:after="40"/>
      </w:pPr>
      <w:r>
        <w:rPr>
          <w:color w:val="333333"/>
        </w:rPr>
        <w:t>Représentation technique lors des dialogues avec le superviseur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1F1B" w14:paraId="4876BF4B" w14:textId="77777777">
        <w:tc>
          <w:tcPr>
            <w:tcW w:w="9360" w:type="dxa"/>
            <w:tcBorders>
              <w:top w:val="single" w:sz="4" w:space="0" w:color="1D9E75"/>
              <w:left w:val="single" w:sz="12" w:space="0" w:color="1D9E75"/>
              <w:bottom w:val="none" w:sz="0" w:space="0" w:color="FFFFFF"/>
              <w:right w:val="none" w:sz="0" w:space="0" w:color="FFFFFF"/>
            </w:tcBorders>
            <w:shd w:val="clear" w:color="auto" w:fill="E1F5EE"/>
            <w:tcMar>
              <w:top w:w="120" w:type="dxa"/>
              <w:left w:w="200" w:type="dxa"/>
              <w:bottom w:w="120" w:type="dxa"/>
              <w:right w:w="200" w:type="dxa"/>
            </w:tcMar>
          </w:tcPr>
          <w:p w14:paraId="62C5D74C" w14:textId="77777777" w:rsidR="000E1F1B" w:rsidRDefault="00000000">
            <w:pPr>
              <w:spacing w:after="60"/>
            </w:pPr>
            <w:r>
              <w:rPr>
                <w:b/>
                <w:bCs/>
                <w:color w:val="3C3489"/>
                <w:sz w:val="20"/>
                <w:szCs w:val="20"/>
              </w:rPr>
              <w:t>Livrables — Conseil stratégique</w:t>
            </w:r>
          </w:p>
          <w:p w14:paraId="5AE16064" w14:textId="77777777" w:rsidR="000E1F1B" w:rsidRDefault="00000000">
            <w:pPr>
              <w:spacing w:before="20" w:after="20"/>
            </w:pPr>
            <w:r>
              <w:rPr>
                <w:color w:val="444444"/>
                <w:sz w:val="19"/>
                <w:szCs w:val="19"/>
              </w:rPr>
              <w:t>• Rapport de diagnostic du dispositif de risque (</w:t>
            </w:r>
            <w:proofErr w:type="spellStart"/>
            <w:r>
              <w:rPr>
                <w:color w:val="444444"/>
                <w:sz w:val="19"/>
                <w:szCs w:val="19"/>
              </w:rPr>
              <w:t>Maturity</w:t>
            </w:r>
            <w:proofErr w:type="spellEnd"/>
            <w:r>
              <w:rPr>
                <w:color w:val="444444"/>
                <w:sz w:val="19"/>
                <w:szCs w:val="19"/>
              </w:rPr>
              <w:t xml:space="preserve"> </w:t>
            </w:r>
            <w:proofErr w:type="spellStart"/>
            <w:r>
              <w:rPr>
                <w:color w:val="444444"/>
                <w:sz w:val="19"/>
                <w:szCs w:val="19"/>
              </w:rPr>
              <w:t>Assessment</w:t>
            </w:r>
            <w:proofErr w:type="spellEnd"/>
            <w:r>
              <w:rPr>
                <w:color w:val="444444"/>
                <w:sz w:val="19"/>
                <w:szCs w:val="19"/>
              </w:rPr>
              <w:t>)</w:t>
            </w:r>
          </w:p>
          <w:p w14:paraId="133BB7BE" w14:textId="77777777" w:rsidR="000E1F1B" w:rsidRDefault="00000000">
            <w:pPr>
              <w:spacing w:before="20" w:after="20"/>
            </w:pPr>
            <w:r>
              <w:rPr>
                <w:color w:val="444444"/>
                <w:sz w:val="19"/>
                <w:szCs w:val="19"/>
              </w:rPr>
              <w:t>• Charte d'appétit au risque avec métriques et limites opérationnelles</w:t>
            </w:r>
          </w:p>
          <w:p w14:paraId="7504BE93" w14:textId="77777777" w:rsidR="000E1F1B" w:rsidRDefault="00000000">
            <w:pPr>
              <w:spacing w:before="20" w:after="20"/>
            </w:pPr>
            <w:r>
              <w:rPr>
                <w:color w:val="444444"/>
                <w:sz w:val="19"/>
                <w:szCs w:val="19"/>
              </w:rPr>
              <w:t>• Politique de gestion des risques (crédit, marché, opérationnel, liquidité)</w:t>
            </w:r>
          </w:p>
          <w:p w14:paraId="52100357" w14:textId="77777777" w:rsidR="000E1F1B" w:rsidRDefault="00000000">
            <w:pPr>
              <w:spacing w:before="20" w:after="20"/>
            </w:pPr>
            <w:r>
              <w:rPr>
                <w:color w:val="444444"/>
                <w:sz w:val="19"/>
                <w:szCs w:val="19"/>
              </w:rPr>
              <w:t>• Feuille de route de mise en conformité avec planning et priorités</w:t>
            </w:r>
          </w:p>
          <w:p w14:paraId="4B5CF6D9" w14:textId="77777777" w:rsidR="000E1F1B" w:rsidRDefault="00000000">
            <w:pPr>
              <w:spacing w:before="20" w:after="20"/>
            </w:pPr>
            <w:r>
              <w:rPr>
                <w:color w:val="444444"/>
                <w:sz w:val="19"/>
                <w:szCs w:val="19"/>
              </w:rPr>
              <w:t>• Dossier de préparation aux inspections réglementaires</w:t>
            </w:r>
          </w:p>
        </w:tc>
      </w:tr>
    </w:tbl>
    <w:p w14:paraId="0E957FA2" w14:textId="77777777" w:rsidR="000E1F1B" w:rsidRDefault="000E1F1B"/>
    <w:p w14:paraId="184E2619" w14:textId="77777777" w:rsidR="000E1F1B" w:rsidRDefault="00000000">
      <w:pPr>
        <w:pStyle w:val="Titre2"/>
      </w:pPr>
      <w:r>
        <w:t>6.2 — Programmes de formation</w:t>
      </w:r>
    </w:p>
    <w:p w14:paraId="0918420F" w14:textId="77777777" w:rsidR="000E1F1B" w:rsidRDefault="00000000">
      <w:pPr>
        <w:spacing w:before="60" w:after="60"/>
      </w:pPr>
      <w:r>
        <w:rPr>
          <w:color w:val="333333"/>
        </w:rPr>
        <w:lastRenderedPageBreak/>
        <w:t>Nexus Alpha propose des formations sur mesure, adaptées au niveau des participants et aux besoins spécifiques de l'institution. Toutes les formations intègrent des cas pratiques tirés des marchés africains.</w:t>
      </w:r>
    </w:p>
    <w:p w14:paraId="02AAFD0A" w14:textId="77777777" w:rsidR="000E1F1B" w:rsidRDefault="00000000">
      <w:pPr>
        <w:spacing w:before="180" w:after="60"/>
      </w:pPr>
      <w:r>
        <w:rPr>
          <w:b/>
          <w:bCs/>
          <w:color w:val="534AB7"/>
          <w:sz w:val="22"/>
          <w:szCs w:val="22"/>
        </w:rPr>
        <w:t>Catalogue de formations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00"/>
        <w:gridCol w:w="2360"/>
      </w:tblGrid>
      <w:tr w:rsidR="000E1F1B" w14:paraId="0C46EFA1"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vAlign w:val="center"/>
          </w:tcPr>
          <w:p w14:paraId="74BA15F6" w14:textId="77777777" w:rsidR="000E1F1B" w:rsidRDefault="00000000">
            <w:r>
              <w:rPr>
                <w:b/>
                <w:bCs/>
                <w:color w:val="FFFFFF"/>
                <w:sz w:val="20"/>
                <w:szCs w:val="20"/>
              </w:rPr>
              <w:t>Programme</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vAlign w:val="center"/>
          </w:tcPr>
          <w:p w14:paraId="21E97A74" w14:textId="77777777" w:rsidR="000E1F1B" w:rsidRDefault="00000000">
            <w:r>
              <w:rPr>
                <w:b/>
                <w:bCs/>
                <w:color w:val="FFFFFF"/>
                <w:sz w:val="20"/>
                <w:szCs w:val="20"/>
              </w:rPr>
              <w:t>Durée</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vAlign w:val="center"/>
          </w:tcPr>
          <w:p w14:paraId="150B76E8" w14:textId="77777777" w:rsidR="000E1F1B" w:rsidRDefault="00000000">
            <w:r>
              <w:rPr>
                <w:b/>
                <w:bCs/>
                <w:color w:val="FFFFFF"/>
                <w:sz w:val="20"/>
                <w:szCs w:val="20"/>
              </w:rPr>
              <w:t>Public cible</w:t>
            </w:r>
          </w:p>
        </w:tc>
        <w:tc>
          <w:tcPr>
            <w:tcW w:w="2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vAlign w:val="center"/>
          </w:tcPr>
          <w:p w14:paraId="73DD4FAF" w14:textId="77777777" w:rsidR="000E1F1B" w:rsidRDefault="00000000">
            <w:r>
              <w:rPr>
                <w:b/>
                <w:bCs/>
                <w:color w:val="FFFFFF"/>
                <w:sz w:val="20"/>
                <w:szCs w:val="20"/>
              </w:rPr>
              <w:t>Tarif indicatif</w:t>
            </w:r>
          </w:p>
        </w:tc>
      </w:tr>
      <w:tr w:rsidR="000E1F1B" w14:paraId="0CF8130D" w14:textId="77777777">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18639B21" w14:textId="77777777" w:rsidR="000E1F1B" w:rsidRDefault="00000000">
            <w:r>
              <w:rPr>
                <w:b/>
                <w:bCs/>
                <w:color w:val="222222"/>
                <w:sz w:val="20"/>
                <w:szCs w:val="20"/>
              </w:rPr>
              <w:t>Fondamentaux du risque bancaire</w:t>
            </w:r>
          </w:p>
        </w:tc>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4042F7D6" w14:textId="77777777" w:rsidR="000E1F1B" w:rsidRDefault="00000000">
            <w:pPr>
              <w:jc w:val="center"/>
            </w:pPr>
            <w:r>
              <w:rPr>
                <w:color w:val="222222"/>
                <w:sz w:val="20"/>
                <w:szCs w:val="20"/>
              </w:rPr>
              <w:t>2 jours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42AA515" w14:textId="77777777" w:rsidR="000E1F1B" w:rsidRDefault="00000000">
            <w:r>
              <w:rPr>
                <w:color w:val="222222"/>
                <w:sz w:val="20"/>
                <w:szCs w:val="20"/>
              </w:rPr>
              <w:t>Managers, auditeurs</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530BF663" w14:textId="77777777" w:rsidR="000E1F1B" w:rsidRDefault="00000000">
            <w:pPr>
              <w:jc w:val="center"/>
            </w:pPr>
            <w:r>
              <w:rPr>
                <w:color w:val="222222"/>
                <w:sz w:val="20"/>
                <w:szCs w:val="20"/>
              </w:rPr>
              <w:t>3M–5M FCFA/groupe</w:t>
            </w:r>
          </w:p>
        </w:tc>
      </w:tr>
      <w:tr w:rsidR="000E1F1B" w14:paraId="051E502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3FFA075" w14:textId="77777777" w:rsidR="000E1F1B" w:rsidRDefault="00000000">
            <w:r>
              <w:rPr>
                <w:color w:val="222222"/>
                <w:sz w:val="20"/>
                <w:szCs w:val="20"/>
              </w:rPr>
              <w:t>Bâle IV &amp; IFRS 9 en pratique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0BB6DF7" w14:textId="77777777" w:rsidR="000E1F1B" w:rsidRDefault="00000000">
            <w:pPr>
              <w:jc w:val="center"/>
            </w:pPr>
            <w:r>
              <w:rPr>
                <w:color w:val="222222"/>
                <w:sz w:val="20"/>
                <w:szCs w:val="20"/>
              </w:rPr>
              <w:t>3 jours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51765ED1" w14:textId="77777777" w:rsidR="000E1F1B" w:rsidRDefault="00000000">
            <w:r>
              <w:rPr>
                <w:color w:val="222222"/>
                <w:sz w:val="20"/>
                <w:szCs w:val="20"/>
              </w:rPr>
              <w:t>Équipes risque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52059B5" w14:textId="77777777" w:rsidR="000E1F1B" w:rsidRDefault="00000000">
            <w:pPr>
              <w:jc w:val="center"/>
            </w:pPr>
            <w:r>
              <w:rPr>
                <w:color w:val="222222"/>
                <w:sz w:val="20"/>
                <w:szCs w:val="20"/>
              </w:rPr>
              <w:t>5M–8M FCFA/groupe</w:t>
            </w:r>
          </w:p>
        </w:tc>
      </w:tr>
      <w:tr w:rsidR="000E1F1B" w14:paraId="2C62A88B" w14:textId="77777777">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76F64C2C" w14:textId="77777777" w:rsidR="000E1F1B" w:rsidRDefault="00000000">
            <w:proofErr w:type="spellStart"/>
            <w:r>
              <w:rPr>
                <w:b/>
                <w:bCs/>
                <w:color w:val="222222"/>
                <w:sz w:val="20"/>
                <w:szCs w:val="20"/>
              </w:rPr>
              <w:t>Scoring</w:t>
            </w:r>
            <w:proofErr w:type="spellEnd"/>
            <w:r>
              <w:rPr>
                <w:b/>
                <w:bCs/>
                <w:color w:val="222222"/>
                <w:sz w:val="20"/>
                <w:szCs w:val="20"/>
              </w:rPr>
              <w:t xml:space="preserve"> crédit &amp; Machine Learning</w:t>
            </w:r>
          </w:p>
        </w:tc>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61D529EB" w14:textId="77777777" w:rsidR="000E1F1B" w:rsidRDefault="00000000">
            <w:pPr>
              <w:jc w:val="center"/>
            </w:pPr>
            <w:r>
              <w:rPr>
                <w:color w:val="222222"/>
                <w:sz w:val="20"/>
                <w:szCs w:val="20"/>
              </w:rPr>
              <w:t>3 jours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9B618FA" w14:textId="77777777" w:rsidR="000E1F1B" w:rsidRDefault="00000000">
            <w:r>
              <w:rPr>
                <w:color w:val="222222"/>
                <w:sz w:val="20"/>
                <w:szCs w:val="20"/>
              </w:rPr>
              <w:t xml:space="preserve">Data </w:t>
            </w:r>
            <w:proofErr w:type="spellStart"/>
            <w:r>
              <w:rPr>
                <w:color w:val="222222"/>
                <w:sz w:val="20"/>
                <w:szCs w:val="20"/>
              </w:rPr>
              <w:t>analysts</w:t>
            </w:r>
            <w:proofErr w:type="spellEnd"/>
            <w:r>
              <w:rPr>
                <w:color w:val="222222"/>
                <w:sz w:val="20"/>
                <w:szCs w:val="20"/>
              </w:rPr>
              <w:t xml:space="preserve">, </w:t>
            </w:r>
            <w:proofErr w:type="spellStart"/>
            <w:r>
              <w:rPr>
                <w:color w:val="222222"/>
                <w:sz w:val="20"/>
                <w:szCs w:val="20"/>
              </w:rPr>
              <w:t>quants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69E90B48" w14:textId="77777777" w:rsidR="000E1F1B" w:rsidRDefault="00000000">
            <w:pPr>
              <w:jc w:val="center"/>
            </w:pPr>
            <w:r>
              <w:rPr>
                <w:color w:val="222222"/>
                <w:sz w:val="20"/>
                <w:szCs w:val="20"/>
              </w:rPr>
              <w:t>5M–9M FCFA/groupe</w:t>
            </w:r>
          </w:p>
        </w:tc>
      </w:tr>
      <w:tr w:rsidR="000E1F1B" w14:paraId="5A4735E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FE898BD" w14:textId="77777777" w:rsidR="000E1F1B" w:rsidRDefault="00000000">
            <w:r>
              <w:rPr>
                <w:color w:val="222222"/>
                <w:sz w:val="20"/>
                <w:szCs w:val="20"/>
              </w:rPr>
              <w:t>Python appliqué à la finance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93865FF" w14:textId="77777777" w:rsidR="000E1F1B" w:rsidRDefault="00000000">
            <w:pPr>
              <w:jc w:val="center"/>
            </w:pPr>
            <w:r>
              <w:rPr>
                <w:color w:val="222222"/>
                <w:sz w:val="20"/>
                <w:szCs w:val="20"/>
              </w:rPr>
              <w:t>4 jours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03ADD197" w14:textId="77777777" w:rsidR="000E1F1B" w:rsidRDefault="00000000">
            <w:r>
              <w:rPr>
                <w:color w:val="222222"/>
                <w:sz w:val="20"/>
                <w:szCs w:val="20"/>
              </w:rPr>
              <w:t>Équipes technique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E4E3B56" w14:textId="77777777" w:rsidR="000E1F1B" w:rsidRDefault="00000000">
            <w:pPr>
              <w:jc w:val="center"/>
            </w:pPr>
            <w:r>
              <w:rPr>
                <w:color w:val="222222"/>
                <w:sz w:val="20"/>
                <w:szCs w:val="20"/>
              </w:rPr>
              <w:t>6M–10M FCFA/groupe</w:t>
            </w:r>
          </w:p>
        </w:tc>
      </w:tr>
      <w:tr w:rsidR="000E1F1B" w14:paraId="0D3C4D10" w14:textId="77777777">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78EB825B" w14:textId="77777777" w:rsidR="000E1F1B" w:rsidRDefault="00000000">
            <w:r>
              <w:rPr>
                <w:b/>
                <w:bCs/>
                <w:color w:val="222222"/>
                <w:sz w:val="20"/>
                <w:szCs w:val="20"/>
              </w:rPr>
              <w:t>Préparation FRM (Financial Risk Manager)</w:t>
            </w:r>
          </w:p>
        </w:tc>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7DF4DA09" w14:textId="77777777" w:rsidR="000E1F1B" w:rsidRDefault="00000000">
            <w:pPr>
              <w:jc w:val="center"/>
            </w:pPr>
            <w:r>
              <w:rPr>
                <w:color w:val="222222"/>
                <w:sz w:val="20"/>
                <w:szCs w:val="20"/>
              </w:rPr>
              <w:t>8 semaines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55D8A93" w14:textId="77777777" w:rsidR="000E1F1B" w:rsidRDefault="00000000">
            <w:r>
              <w:rPr>
                <w:color w:val="222222"/>
                <w:sz w:val="20"/>
                <w:szCs w:val="20"/>
              </w:rPr>
              <w:t>Candidats FRM</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6099F441" w14:textId="77777777" w:rsidR="000E1F1B" w:rsidRDefault="00000000">
            <w:pPr>
              <w:jc w:val="center"/>
            </w:pPr>
            <w:r>
              <w:rPr>
                <w:color w:val="222222"/>
                <w:sz w:val="20"/>
                <w:szCs w:val="20"/>
              </w:rPr>
              <w:t>1M–2M FCFA/pers.</w:t>
            </w:r>
          </w:p>
        </w:tc>
      </w:tr>
      <w:tr w:rsidR="000E1F1B" w14:paraId="2C7F9A6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D65246B" w14:textId="77777777" w:rsidR="000E1F1B" w:rsidRDefault="00000000">
            <w:r>
              <w:rPr>
                <w:color w:val="222222"/>
                <w:sz w:val="20"/>
                <w:szCs w:val="20"/>
              </w:rPr>
              <w:t>Gestion ALM &amp; risque de taux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C331343" w14:textId="77777777" w:rsidR="000E1F1B" w:rsidRDefault="00000000">
            <w:pPr>
              <w:jc w:val="center"/>
            </w:pPr>
            <w:r>
              <w:rPr>
                <w:color w:val="222222"/>
                <w:sz w:val="20"/>
                <w:szCs w:val="20"/>
              </w:rPr>
              <w:t>2 jours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1E76A485" w14:textId="77777777" w:rsidR="000E1F1B" w:rsidRDefault="00000000">
            <w:r>
              <w:rPr>
                <w:color w:val="222222"/>
                <w:sz w:val="20"/>
                <w:szCs w:val="20"/>
              </w:rPr>
              <w:t>Trésoriers, DG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892381D" w14:textId="77777777" w:rsidR="000E1F1B" w:rsidRDefault="00000000">
            <w:pPr>
              <w:jc w:val="center"/>
            </w:pPr>
            <w:r>
              <w:rPr>
                <w:color w:val="222222"/>
                <w:sz w:val="20"/>
                <w:szCs w:val="20"/>
              </w:rPr>
              <w:t>3M–6M FCFA/groupe</w:t>
            </w:r>
          </w:p>
        </w:tc>
      </w:tr>
      <w:tr w:rsidR="000E1F1B" w14:paraId="2BC97DDC" w14:textId="77777777">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36537ADF" w14:textId="77777777" w:rsidR="000E1F1B" w:rsidRDefault="00000000">
            <w:r>
              <w:rPr>
                <w:b/>
                <w:bCs/>
                <w:color w:val="222222"/>
                <w:sz w:val="20"/>
                <w:szCs w:val="20"/>
              </w:rPr>
              <w:t>ESG &amp; risque climatique</w:t>
            </w:r>
          </w:p>
        </w:tc>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3B9D96DA" w14:textId="77777777" w:rsidR="000E1F1B" w:rsidRDefault="00000000">
            <w:pPr>
              <w:jc w:val="center"/>
            </w:pPr>
            <w:r>
              <w:rPr>
                <w:color w:val="222222"/>
                <w:sz w:val="20"/>
                <w:szCs w:val="20"/>
              </w:rPr>
              <w:t>1 jour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7B0FADE" w14:textId="77777777" w:rsidR="000E1F1B" w:rsidRDefault="00000000">
            <w:r>
              <w:rPr>
                <w:color w:val="222222"/>
                <w:sz w:val="20"/>
                <w:szCs w:val="20"/>
              </w:rPr>
              <w:t>Direction générale</w:t>
            </w:r>
          </w:p>
        </w:tc>
        <w:tc>
          <w:tcPr>
            <w:tcW w:w="23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4B94F00A" w14:textId="77777777" w:rsidR="000E1F1B" w:rsidRDefault="00000000">
            <w:pPr>
              <w:jc w:val="center"/>
            </w:pPr>
            <w:r>
              <w:rPr>
                <w:color w:val="222222"/>
                <w:sz w:val="20"/>
                <w:szCs w:val="20"/>
              </w:rPr>
              <w:t>2M–4M FCFA/groupe</w:t>
            </w:r>
          </w:p>
        </w:tc>
      </w:tr>
    </w:tbl>
    <w:p w14:paraId="6BEE2CAC" w14:textId="77777777" w:rsidR="000E1F1B" w:rsidRDefault="000E1F1B"/>
    <w:p w14:paraId="2B34B4D4" w14:textId="77777777" w:rsidR="000E1F1B" w:rsidRDefault="00000000">
      <w:pPr>
        <w:spacing w:before="180" w:after="60"/>
      </w:pPr>
      <w:r>
        <w:rPr>
          <w:b/>
          <w:bCs/>
          <w:color w:val="534AB7"/>
          <w:sz w:val="22"/>
          <w:szCs w:val="22"/>
        </w:rPr>
        <w:t>Modalités pédagogiques</w:t>
      </w:r>
    </w:p>
    <w:p w14:paraId="2009E3B0" w14:textId="77777777" w:rsidR="000E1F1B" w:rsidRDefault="00000000">
      <w:pPr>
        <w:pStyle w:val="Paragraphedeliste"/>
        <w:numPr>
          <w:ilvl w:val="0"/>
          <w:numId w:val="2"/>
        </w:numPr>
        <w:spacing w:before="40" w:after="40"/>
      </w:pPr>
      <w:r>
        <w:rPr>
          <w:color w:val="333333"/>
        </w:rPr>
        <w:t>Présentiel en intra-entreprise : formation délivrée dans les locaux du client, adaptée à son contexte</w:t>
      </w:r>
    </w:p>
    <w:p w14:paraId="36709308" w14:textId="77777777" w:rsidR="000E1F1B" w:rsidRDefault="00000000">
      <w:pPr>
        <w:pStyle w:val="Paragraphedeliste"/>
        <w:numPr>
          <w:ilvl w:val="0"/>
          <w:numId w:val="2"/>
        </w:numPr>
        <w:spacing w:before="40" w:after="40"/>
      </w:pPr>
      <w:r>
        <w:rPr>
          <w:color w:val="333333"/>
        </w:rPr>
        <w:t>Présentiel en inter-entreprises : sessions regroupant plusieurs institutions, favorisant les échanges</w:t>
      </w:r>
    </w:p>
    <w:p w14:paraId="17C5674F" w14:textId="77777777" w:rsidR="000E1F1B" w:rsidRDefault="00000000">
      <w:pPr>
        <w:pStyle w:val="Paragraphedeliste"/>
        <w:numPr>
          <w:ilvl w:val="0"/>
          <w:numId w:val="2"/>
        </w:numPr>
        <w:spacing w:before="40" w:after="40"/>
      </w:pPr>
      <w:r>
        <w:rPr>
          <w:color w:val="333333"/>
        </w:rPr>
        <w:t>Distanciel synchrone : webinaires interactifs avec cas pratiques en temps réel</w:t>
      </w:r>
    </w:p>
    <w:p w14:paraId="0B190D88" w14:textId="77777777" w:rsidR="000E1F1B" w:rsidRDefault="00000000">
      <w:pPr>
        <w:pStyle w:val="Paragraphedeliste"/>
        <w:numPr>
          <w:ilvl w:val="0"/>
          <w:numId w:val="2"/>
        </w:numPr>
        <w:spacing w:before="40" w:after="40"/>
      </w:pPr>
      <w:r>
        <w:rPr>
          <w:color w:val="333333"/>
        </w:rPr>
        <w:t>E-learning asynchrone : modules vidéo avec exercices et quiz (développement en cours)</w:t>
      </w:r>
    </w:p>
    <w:p w14:paraId="5B28C6FD" w14:textId="77777777" w:rsidR="000E1F1B" w:rsidRDefault="00000000">
      <w:pPr>
        <w:pStyle w:val="Paragraphedeliste"/>
        <w:numPr>
          <w:ilvl w:val="0"/>
          <w:numId w:val="2"/>
        </w:numPr>
        <w:spacing w:before="40" w:after="40"/>
      </w:pPr>
      <w:r>
        <w:rPr>
          <w:color w:val="333333"/>
        </w:rPr>
        <w:t>Coaching individuel : accompagnement personnalisé pour candidats FRM/PRM ou directeurs risque</w:t>
      </w:r>
    </w:p>
    <w:p w14:paraId="4666B4AC" w14:textId="77777777" w:rsidR="000E1F1B" w:rsidRDefault="000E1F1B"/>
    <w:p w14:paraId="6D2DFF60" w14:textId="77777777" w:rsidR="000E1F1B" w:rsidRDefault="00000000">
      <w:pPr>
        <w:pStyle w:val="Titre2"/>
      </w:pPr>
      <w:r>
        <w:t>Conclusion — L'offre Nexus Alpha</w:t>
      </w:r>
    </w:p>
    <w:p w14:paraId="18AAFE5D" w14:textId="77777777" w:rsidR="000E1F1B" w:rsidRDefault="00000000">
      <w:pPr>
        <w:spacing w:before="60" w:after="60"/>
      </w:pPr>
      <w:r>
        <w:rPr>
          <w:color w:val="333333"/>
        </w:rPr>
        <w:t>Les 6 pôles de Nexus Alpha forment un écosystème cohérent et complémentaire. Chaque pôle peut être mobilisé indépendamment ou en combinaison, selon les besoins du client. La synergie entre la rigueur quantitative (pôles 1 à 5) et l'accompagnement stratégique (pôle 6) est ce qui différencie Nexus Alpha des cabinets généralistes et des consultants isolés.</w:t>
      </w:r>
    </w:p>
    <w:p w14:paraId="72ECEC41" w14:textId="77777777" w:rsidR="000E1F1B" w:rsidRDefault="000E1F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560"/>
        <w:gridCol w:w="2000"/>
        <w:gridCol w:w="2200"/>
      </w:tblGrid>
      <w:tr w:rsidR="000E1F1B" w14:paraId="231A30B2"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3C3489"/>
            <w:tcMar>
              <w:top w:w="90" w:type="dxa"/>
              <w:left w:w="130" w:type="dxa"/>
              <w:bottom w:w="90" w:type="dxa"/>
              <w:right w:w="130" w:type="dxa"/>
            </w:tcMar>
            <w:vAlign w:val="center"/>
          </w:tcPr>
          <w:p w14:paraId="06307BD8" w14:textId="77777777" w:rsidR="000E1F1B" w:rsidRDefault="00000000">
            <w:r>
              <w:rPr>
                <w:b/>
                <w:bCs/>
                <w:color w:val="FFFFFF"/>
                <w:sz w:val="20"/>
                <w:szCs w:val="20"/>
              </w:rPr>
              <w:t>Pôle</w:t>
            </w:r>
          </w:p>
        </w:tc>
        <w:tc>
          <w:tcPr>
            <w:tcW w:w="3560" w:type="dxa"/>
            <w:tcBorders>
              <w:top w:val="single" w:sz="1" w:space="0" w:color="CCCCCC"/>
              <w:left w:val="single" w:sz="1" w:space="0" w:color="CCCCCC"/>
              <w:bottom w:val="single" w:sz="1" w:space="0" w:color="CCCCCC"/>
              <w:right w:val="single" w:sz="1" w:space="0" w:color="CCCCCC"/>
            </w:tcBorders>
            <w:shd w:val="clear" w:color="auto" w:fill="3C3489"/>
            <w:tcMar>
              <w:top w:w="90" w:type="dxa"/>
              <w:left w:w="130" w:type="dxa"/>
              <w:bottom w:w="90" w:type="dxa"/>
              <w:right w:w="130" w:type="dxa"/>
            </w:tcMar>
            <w:vAlign w:val="center"/>
          </w:tcPr>
          <w:p w14:paraId="0D0BB542" w14:textId="77777777" w:rsidR="000E1F1B" w:rsidRDefault="00000000">
            <w:r>
              <w:rPr>
                <w:b/>
                <w:bCs/>
                <w:color w:val="FFFFFF"/>
                <w:sz w:val="20"/>
                <w:szCs w:val="20"/>
              </w:rPr>
              <w:t>Spécialité</w:t>
            </w:r>
          </w:p>
        </w:tc>
        <w:tc>
          <w:tcPr>
            <w:tcW w:w="2000" w:type="dxa"/>
            <w:tcBorders>
              <w:top w:val="single" w:sz="1" w:space="0" w:color="CCCCCC"/>
              <w:left w:val="single" w:sz="1" w:space="0" w:color="CCCCCC"/>
              <w:bottom w:val="single" w:sz="1" w:space="0" w:color="CCCCCC"/>
              <w:right w:val="single" w:sz="1" w:space="0" w:color="CCCCCC"/>
            </w:tcBorders>
            <w:shd w:val="clear" w:color="auto" w:fill="3C3489"/>
            <w:tcMar>
              <w:top w:w="90" w:type="dxa"/>
              <w:left w:w="130" w:type="dxa"/>
              <w:bottom w:w="90" w:type="dxa"/>
              <w:right w:w="130" w:type="dxa"/>
            </w:tcMar>
            <w:vAlign w:val="center"/>
          </w:tcPr>
          <w:p w14:paraId="153569C4" w14:textId="77777777" w:rsidR="000E1F1B" w:rsidRDefault="00000000">
            <w:r>
              <w:rPr>
                <w:b/>
                <w:bCs/>
                <w:color w:val="FFFFFF"/>
                <w:sz w:val="20"/>
                <w:szCs w:val="20"/>
              </w:rPr>
              <w:t>Clients prioritaires</w:t>
            </w:r>
          </w:p>
        </w:tc>
        <w:tc>
          <w:tcPr>
            <w:tcW w:w="2200" w:type="dxa"/>
            <w:tcBorders>
              <w:top w:val="single" w:sz="1" w:space="0" w:color="CCCCCC"/>
              <w:left w:val="single" w:sz="1" w:space="0" w:color="CCCCCC"/>
              <w:bottom w:val="single" w:sz="1" w:space="0" w:color="CCCCCC"/>
              <w:right w:val="single" w:sz="1" w:space="0" w:color="CCCCCC"/>
            </w:tcBorders>
            <w:shd w:val="clear" w:color="auto" w:fill="3C3489"/>
            <w:tcMar>
              <w:top w:w="90" w:type="dxa"/>
              <w:left w:w="130" w:type="dxa"/>
              <w:bottom w:w="90" w:type="dxa"/>
              <w:right w:w="130" w:type="dxa"/>
            </w:tcMar>
            <w:vAlign w:val="center"/>
          </w:tcPr>
          <w:p w14:paraId="3D272DF0" w14:textId="77777777" w:rsidR="000E1F1B" w:rsidRDefault="00000000">
            <w:r>
              <w:rPr>
                <w:b/>
                <w:bCs/>
                <w:color w:val="FFFFFF"/>
                <w:sz w:val="20"/>
                <w:szCs w:val="20"/>
              </w:rPr>
              <w:t>Type de mission</w:t>
            </w:r>
          </w:p>
        </w:tc>
      </w:tr>
      <w:tr w:rsidR="000E1F1B" w14:paraId="16C14429" w14:textId="77777777">
        <w:tc>
          <w:tcPr>
            <w:tcW w:w="1600" w:type="dxa"/>
            <w:tcBorders>
              <w:top w:val="single" w:sz="1" w:space="0" w:color="CCCCCC"/>
              <w:left w:val="single" w:sz="1" w:space="0" w:color="CCCCCC"/>
              <w:bottom w:val="single" w:sz="1" w:space="0" w:color="CCCCCC"/>
              <w:right w:val="single" w:sz="1" w:space="0" w:color="CCCCCC"/>
            </w:tcBorders>
            <w:shd w:val="clear" w:color="auto" w:fill="EEEDFE"/>
            <w:tcMar>
              <w:top w:w="90" w:type="dxa"/>
              <w:left w:w="130" w:type="dxa"/>
              <w:bottom w:w="90" w:type="dxa"/>
              <w:right w:w="130" w:type="dxa"/>
            </w:tcMar>
            <w:vAlign w:val="center"/>
          </w:tcPr>
          <w:p w14:paraId="3ECAF4B5" w14:textId="77777777" w:rsidR="000E1F1B" w:rsidRDefault="00000000">
            <w:r>
              <w:rPr>
                <w:b/>
                <w:bCs/>
                <w:color w:val="222222"/>
                <w:sz w:val="20"/>
                <w:szCs w:val="20"/>
              </w:rPr>
              <w:t>Pôle 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B1A87A4" w14:textId="77777777" w:rsidR="000E1F1B" w:rsidRDefault="00000000">
            <w:r>
              <w:rPr>
                <w:color w:val="222222"/>
                <w:sz w:val="20"/>
                <w:szCs w:val="20"/>
              </w:rPr>
              <w:t>Risque de marché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3D267C9" w14:textId="77777777" w:rsidR="000E1F1B" w:rsidRDefault="00000000">
            <w:r>
              <w:rPr>
                <w:color w:val="222222"/>
                <w:sz w:val="20"/>
                <w:szCs w:val="20"/>
              </w:rPr>
              <w:t>Banques, fonds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9E44F42" w14:textId="77777777" w:rsidR="000E1F1B" w:rsidRDefault="00000000">
            <w:r>
              <w:rPr>
                <w:color w:val="222222"/>
                <w:sz w:val="20"/>
                <w:szCs w:val="20"/>
              </w:rPr>
              <w:t xml:space="preserve">Projet + </w:t>
            </w:r>
            <w:proofErr w:type="spellStart"/>
            <w:r>
              <w:rPr>
                <w:color w:val="222222"/>
                <w:sz w:val="20"/>
                <w:szCs w:val="20"/>
              </w:rPr>
              <w:t>retainer</w:t>
            </w:r>
            <w:proofErr w:type="spellEnd"/>
          </w:p>
        </w:tc>
      </w:tr>
      <w:tr w:rsidR="000E1F1B" w14:paraId="2E451E42" w14:textId="77777777">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0F60A0AE" w14:textId="77777777" w:rsidR="000E1F1B" w:rsidRDefault="00000000">
            <w:r>
              <w:rPr>
                <w:b/>
                <w:bCs/>
                <w:color w:val="222222"/>
                <w:sz w:val="20"/>
                <w:szCs w:val="20"/>
              </w:rPr>
              <w:t>Pôle 2</w:t>
            </w:r>
          </w:p>
        </w:tc>
        <w:tc>
          <w:tcPr>
            <w:tcW w:w="3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0900E724" w14:textId="77777777" w:rsidR="000E1F1B" w:rsidRDefault="00000000">
            <w:r>
              <w:rPr>
                <w:color w:val="222222"/>
                <w:sz w:val="20"/>
                <w:szCs w:val="20"/>
              </w:rPr>
              <w:t>Risque de crédit &amp; IFRS 9</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02AFFED6" w14:textId="77777777" w:rsidR="000E1F1B" w:rsidRDefault="00000000">
            <w:r>
              <w:rPr>
                <w:color w:val="222222"/>
                <w:sz w:val="20"/>
                <w:szCs w:val="20"/>
              </w:rPr>
              <w:t>Banques, IMF</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34D01868" w14:textId="77777777" w:rsidR="000E1F1B" w:rsidRDefault="00000000">
            <w:r>
              <w:rPr>
                <w:color w:val="222222"/>
                <w:sz w:val="20"/>
                <w:szCs w:val="20"/>
              </w:rPr>
              <w:t>Projet long</w:t>
            </w:r>
          </w:p>
        </w:tc>
      </w:tr>
      <w:tr w:rsidR="000E1F1B" w14:paraId="6280022E" w14:textId="77777777">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90" w:type="dxa"/>
              <w:left w:w="130" w:type="dxa"/>
              <w:bottom w:w="90" w:type="dxa"/>
              <w:right w:w="130" w:type="dxa"/>
            </w:tcMar>
            <w:vAlign w:val="center"/>
          </w:tcPr>
          <w:p w14:paraId="2CA6979B" w14:textId="77777777" w:rsidR="000E1F1B" w:rsidRDefault="00000000">
            <w:r>
              <w:rPr>
                <w:b/>
                <w:bCs/>
                <w:color w:val="222222"/>
                <w:sz w:val="20"/>
                <w:szCs w:val="20"/>
              </w:rPr>
              <w:t>Pôle 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E12CFAE" w14:textId="77777777" w:rsidR="000E1F1B" w:rsidRDefault="00000000">
            <w:r>
              <w:rPr>
                <w:color w:val="222222"/>
                <w:sz w:val="20"/>
                <w:szCs w:val="20"/>
              </w:rPr>
              <w:t>Risque op. &amp; ESG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2B60CCC" w14:textId="77777777" w:rsidR="000E1F1B" w:rsidRDefault="00000000">
            <w:r>
              <w:rPr>
                <w:color w:val="222222"/>
                <w:sz w:val="20"/>
                <w:szCs w:val="20"/>
              </w:rPr>
              <w:t>Toutes institutions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D15A5A2" w14:textId="77777777" w:rsidR="000E1F1B" w:rsidRDefault="00000000">
            <w:r>
              <w:rPr>
                <w:color w:val="222222"/>
                <w:sz w:val="20"/>
                <w:szCs w:val="20"/>
              </w:rPr>
              <w:t>Projet + audit</w:t>
            </w:r>
          </w:p>
        </w:tc>
      </w:tr>
      <w:tr w:rsidR="000E1F1B" w14:paraId="7A6A7E83" w14:textId="77777777">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90" w:type="dxa"/>
              <w:left w:w="130" w:type="dxa"/>
              <w:bottom w:w="90" w:type="dxa"/>
              <w:right w:w="130" w:type="dxa"/>
            </w:tcMar>
            <w:vAlign w:val="center"/>
          </w:tcPr>
          <w:p w14:paraId="63E096BF" w14:textId="77777777" w:rsidR="000E1F1B" w:rsidRDefault="00000000">
            <w:r>
              <w:rPr>
                <w:b/>
                <w:bCs/>
                <w:color w:val="222222"/>
                <w:sz w:val="20"/>
                <w:szCs w:val="20"/>
              </w:rPr>
              <w:t>Pôle 4</w:t>
            </w:r>
          </w:p>
        </w:tc>
        <w:tc>
          <w:tcPr>
            <w:tcW w:w="3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3A03F6C7" w14:textId="77777777" w:rsidR="000E1F1B" w:rsidRDefault="00000000">
            <w:r>
              <w:rPr>
                <w:color w:val="222222"/>
                <w:sz w:val="20"/>
                <w:szCs w:val="20"/>
              </w:rPr>
              <w:t>Validation de modèles (MRM)</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451EFE85" w14:textId="77777777" w:rsidR="000E1F1B" w:rsidRDefault="00000000">
            <w:r>
              <w:rPr>
                <w:color w:val="222222"/>
                <w:sz w:val="20"/>
                <w:szCs w:val="20"/>
              </w:rPr>
              <w:t>Banques, assurances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51170011" w14:textId="77777777" w:rsidR="000E1F1B" w:rsidRDefault="00000000">
            <w:proofErr w:type="spellStart"/>
            <w:r>
              <w:rPr>
                <w:color w:val="222222"/>
                <w:sz w:val="20"/>
                <w:szCs w:val="20"/>
              </w:rPr>
              <w:t>Retainer</w:t>
            </w:r>
            <w:proofErr w:type="spellEnd"/>
            <w:r>
              <w:rPr>
                <w:color w:val="222222"/>
                <w:sz w:val="20"/>
                <w:szCs w:val="20"/>
              </w:rPr>
              <w:t xml:space="preserve"> mensuel</w:t>
            </w:r>
          </w:p>
        </w:tc>
      </w:tr>
      <w:tr w:rsidR="000E1F1B" w14:paraId="2D6B1D51" w14:textId="77777777">
        <w:tc>
          <w:tcPr>
            <w:tcW w:w="1600" w:type="dxa"/>
            <w:tcBorders>
              <w:top w:val="single" w:sz="1" w:space="0" w:color="CCCCCC"/>
              <w:left w:val="single" w:sz="1" w:space="0" w:color="CCCCCC"/>
              <w:bottom w:val="single" w:sz="1" w:space="0" w:color="CCCCCC"/>
              <w:right w:val="single" w:sz="1" w:space="0" w:color="CCCCCC"/>
            </w:tcBorders>
            <w:shd w:val="clear" w:color="auto" w:fill="EEEDFE"/>
            <w:tcMar>
              <w:top w:w="90" w:type="dxa"/>
              <w:left w:w="130" w:type="dxa"/>
              <w:bottom w:w="90" w:type="dxa"/>
              <w:right w:w="130" w:type="dxa"/>
            </w:tcMar>
            <w:vAlign w:val="center"/>
          </w:tcPr>
          <w:p w14:paraId="62846ED5" w14:textId="77777777" w:rsidR="000E1F1B" w:rsidRDefault="00000000">
            <w:r>
              <w:rPr>
                <w:b/>
                <w:bCs/>
                <w:color w:val="222222"/>
                <w:sz w:val="20"/>
                <w:szCs w:val="20"/>
              </w:rPr>
              <w:t>Pôle 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D9CDC57" w14:textId="77777777" w:rsidR="000E1F1B" w:rsidRDefault="00000000">
            <w:r>
              <w:rPr>
                <w:color w:val="222222"/>
                <w:sz w:val="20"/>
                <w:szCs w:val="20"/>
              </w:rPr>
              <w:t>Data science appliquée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5BDABDA" w14:textId="77777777" w:rsidR="000E1F1B" w:rsidRDefault="00000000">
            <w:r>
              <w:rPr>
                <w:color w:val="222222"/>
                <w:sz w:val="20"/>
                <w:szCs w:val="20"/>
              </w:rPr>
              <w:t>Tous secteurs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876B783" w14:textId="77777777" w:rsidR="000E1F1B" w:rsidRDefault="00000000">
            <w:r>
              <w:rPr>
                <w:color w:val="222222"/>
                <w:sz w:val="20"/>
                <w:szCs w:val="20"/>
              </w:rPr>
              <w:t>Projet technique</w:t>
            </w:r>
          </w:p>
        </w:tc>
      </w:tr>
      <w:tr w:rsidR="000E1F1B" w14:paraId="2C29C165" w14:textId="77777777">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30" w:type="dxa"/>
              <w:bottom w:w="90" w:type="dxa"/>
              <w:right w:w="130" w:type="dxa"/>
            </w:tcMar>
            <w:vAlign w:val="center"/>
          </w:tcPr>
          <w:p w14:paraId="01508884" w14:textId="77777777" w:rsidR="000E1F1B" w:rsidRDefault="00000000">
            <w:r>
              <w:rPr>
                <w:b/>
                <w:bCs/>
                <w:color w:val="222222"/>
                <w:sz w:val="20"/>
                <w:szCs w:val="20"/>
              </w:rPr>
              <w:t>Pôle 6</w:t>
            </w:r>
          </w:p>
        </w:tc>
        <w:tc>
          <w:tcPr>
            <w:tcW w:w="3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0991EC80" w14:textId="77777777" w:rsidR="000E1F1B" w:rsidRDefault="00000000">
            <w:r>
              <w:rPr>
                <w:color w:val="222222"/>
                <w:sz w:val="20"/>
                <w:szCs w:val="20"/>
              </w:rPr>
              <w:t>Conseil &amp; formation</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3E2A94FC" w14:textId="77777777" w:rsidR="000E1F1B" w:rsidRDefault="00000000">
            <w:r>
              <w:rPr>
                <w:color w:val="222222"/>
                <w:sz w:val="20"/>
                <w:szCs w:val="20"/>
              </w:rPr>
              <w:t>Tous clients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vAlign w:val="center"/>
          </w:tcPr>
          <w:p w14:paraId="02A26C84" w14:textId="77777777" w:rsidR="000E1F1B" w:rsidRDefault="00000000">
            <w:r>
              <w:rPr>
                <w:color w:val="222222"/>
                <w:sz w:val="20"/>
                <w:szCs w:val="20"/>
              </w:rPr>
              <w:t>Court &amp; formation</w:t>
            </w:r>
          </w:p>
        </w:tc>
      </w:tr>
    </w:tbl>
    <w:p w14:paraId="58ED176F" w14:textId="77777777" w:rsidR="00BC37C0" w:rsidRDefault="00BC37C0"/>
    <w:sectPr w:rsidR="00BC37C0">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BB896" w14:textId="77777777" w:rsidR="00226431" w:rsidRDefault="00226431">
      <w:r>
        <w:separator/>
      </w:r>
    </w:p>
  </w:endnote>
  <w:endnote w:type="continuationSeparator" w:id="0">
    <w:p w14:paraId="7E0239AE" w14:textId="77777777" w:rsidR="00226431" w:rsidRDefault="00226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5ACA7" w14:textId="77777777" w:rsidR="000E1F1B" w:rsidRDefault="00000000">
    <w:pPr>
      <w:pBdr>
        <w:top w:val="single" w:sz="4" w:space="1" w:color="3C3489"/>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66D5A">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666D5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883B" w14:textId="77777777" w:rsidR="00226431" w:rsidRDefault="00226431">
      <w:r>
        <w:separator/>
      </w:r>
    </w:p>
  </w:footnote>
  <w:footnote w:type="continuationSeparator" w:id="0">
    <w:p w14:paraId="65827092" w14:textId="77777777" w:rsidR="00226431" w:rsidRDefault="00226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BF49" w14:textId="77777777" w:rsidR="000E1F1B" w:rsidRDefault="00000000">
    <w:pPr>
      <w:pBdr>
        <w:bottom w:val="single" w:sz="4" w:space="1" w:color="3C3489"/>
      </w:pBdr>
    </w:pPr>
    <w:r>
      <w:rPr>
        <w:color w:val="888888"/>
        <w:sz w:val="18"/>
        <w:szCs w:val="18"/>
      </w:rPr>
      <w:t>NEXUS ALPHA — Catalogue détaillé des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A5310"/>
    <w:multiLevelType w:val="hybridMultilevel"/>
    <w:tmpl w:val="AC3CE7E4"/>
    <w:lvl w:ilvl="0" w:tplc="D94A6326">
      <w:start w:val="1"/>
      <w:numFmt w:val="decimal"/>
      <w:lvlText w:val="%1."/>
      <w:lvlJc w:val="left"/>
      <w:pPr>
        <w:ind w:left="600" w:hanging="300"/>
      </w:pPr>
    </w:lvl>
    <w:lvl w:ilvl="1" w:tplc="1784AA94">
      <w:numFmt w:val="decimal"/>
      <w:lvlText w:val=""/>
      <w:lvlJc w:val="left"/>
    </w:lvl>
    <w:lvl w:ilvl="2" w:tplc="700A908C">
      <w:numFmt w:val="decimal"/>
      <w:lvlText w:val=""/>
      <w:lvlJc w:val="left"/>
    </w:lvl>
    <w:lvl w:ilvl="3" w:tplc="F7E0FDDC">
      <w:numFmt w:val="decimal"/>
      <w:lvlText w:val=""/>
      <w:lvlJc w:val="left"/>
    </w:lvl>
    <w:lvl w:ilvl="4" w:tplc="9A66B550">
      <w:numFmt w:val="decimal"/>
      <w:lvlText w:val=""/>
      <w:lvlJc w:val="left"/>
    </w:lvl>
    <w:lvl w:ilvl="5" w:tplc="2D240734">
      <w:numFmt w:val="decimal"/>
      <w:lvlText w:val=""/>
      <w:lvlJc w:val="left"/>
    </w:lvl>
    <w:lvl w:ilvl="6" w:tplc="BC046708">
      <w:numFmt w:val="decimal"/>
      <w:lvlText w:val=""/>
      <w:lvlJc w:val="left"/>
    </w:lvl>
    <w:lvl w:ilvl="7" w:tplc="282466A6">
      <w:numFmt w:val="decimal"/>
      <w:lvlText w:val=""/>
      <w:lvlJc w:val="left"/>
    </w:lvl>
    <w:lvl w:ilvl="8" w:tplc="48F67C4A">
      <w:numFmt w:val="decimal"/>
      <w:lvlText w:val=""/>
      <w:lvlJc w:val="left"/>
    </w:lvl>
  </w:abstractNum>
  <w:abstractNum w:abstractNumId="1" w15:restartNumberingAfterBreak="0">
    <w:nsid w:val="55D22825"/>
    <w:multiLevelType w:val="hybridMultilevel"/>
    <w:tmpl w:val="9216C70A"/>
    <w:lvl w:ilvl="0" w:tplc="3FC4B676">
      <w:start w:val="1"/>
      <w:numFmt w:val="bullet"/>
      <w:lvlText w:val="•"/>
      <w:lvlJc w:val="left"/>
      <w:pPr>
        <w:ind w:left="600" w:hanging="300"/>
      </w:pPr>
    </w:lvl>
    <w:lvl w:ilvl="1" w:tplc="3D3A25EC">
      <w:numFmt w:val="decimal"/>
      <w:lvlText w:val=""/>
      <w:lvlJc w:val="left"/>
    </w:lvl>
    <w:lvl w:ilvl="2" w:tplc="51AA406C">
      <w:numFmt w:val="decimal"/>
      <w:lvlText w:val=""/>
      <w:lvlJc w:val="left"/>
    </w:lvl>
    <w:lvl w:ilvl="3" w:tplc="DEDC2780">
      <w:numFmt w:val="decimal"/>
      <w:lvlText w:val=""/>
      <w:lvlJc w:val="left"/>
    </w:lvl>
    <w:lvl w:ilvl="4" w:tplc="AAF287D0">
      <w:numFmt w:val="decimal"/>
      <w:lvlText w:val=""/>
      <w:lvlJc w:val="left"/>
    </w:lvl>
    <w:lvl w:ilvl="5" w:tplc="A060166A">
      <w:numFmt w:val="decimal"/>
      <w:lvlText w:val=""/>
      <w:lvlJc w:val="left"/>
    </w:lvl>
    <w:lvl w:ilvl="6" w:tplc="48509212">
      <w:numFmt w:val="decimal"/>
      <w:lvlText w:val=""/>
      <w:lvlJc w:val="left"/>
    </w:lvl>
    <w:lvl w:ilvl="7" w:tplc="338023E2">
      <w:numFmt w:val="decimal"/>
      <w:lvlText w:val=""/>
      <w:lvlJc w:val="left"/>
    </w:lvl>
    <w:lvl w:ilvl="8" w:tplc="222C3848">
      <w:numFmt w:val="decimal"/>
      <w:lvlText w:val=""/>
      <w:lvlJc w:val="left"/>
    </w:lvl>
  </w:abstractNum>
  <w:abstractNum w:abstractNumId="2" w15:restartNumberingAfterBreak="0">
    <w:nsid w:val="5B756080"/>
    <w:multiLevelType w:val="hybridMultilevel"/>
    <w:tmpl w:val="B35436AC"/>
    <w:lvl w:ilvl="0" w:tplc="E18ECA46">
      <w:start w:val="1"/>
      <w:numFmt w:val="bullet"/>
      <w:lvlText w:val="●"/>
      <w:lvlJc w:val="left"/>
      <w:pPr>
        <w:ind w:left="720" w:hanging="360"/>
      </w:pPr>
    </w:lvl>
    <w:lvl w:ilvl="1" w:tplc="5428E974">
      <w:start w:val="1"/>
      <w:numFmt w:val="bullet"/>
      <w:lvlText w:val="○"/>
      <w:lvlJc w:val="left"/>
      <w:pPr>
        <w:ind w:left="1440" w:hanging="360"/>
      </w:pPr>
    </w:lvl>
    <w:lvl w:ilvl="2" w:tplc="850EE382">
      <w:start w:val="1"/>
      <w:numFmt w:val="bullet"/>
      <w:lvlText w:val="■"/>
      <w:lvlJc w:val="left"/>
      <w:pPr>
        <w:ind w:left="2160" w:hanging="360"/>
      </w:pPr>
    </w:lvl>
    <w:lvl w:ilvl="3" w:tplc="9B605150">
      <w:start w:val="1"/>
      <w:numFmt w:val="bullet"/>
      <w:lvlText w:val="●"/>
      <w:lvlJc w:val="left"/>
      <w:pPr>
        <w:ind w:left="2880" w:hanging="360"/>
      </w:pPr>
    </w:lvl>
    <w:lvl w:ilvl="4" w:tplc="F568214C">
      <w:start w:val="1"/>
      <w:numFmt w:val="bullet"/>
      <w:lvlText w:val="○"/>
      <w:lvlJc w:val="left"/>
      <w:pPr>
        <w:ind w:left="3600" w:hanging="360"/>
      </w:pPr>
    </w:lvl>
    <w:lvl w:ilvl="5" w:tplc="E3BAECA6">
      <w:start w:val="1"/>
      <w:numFmt w:val="bullet"/>
      <w:lvlText w:val="■"/>
      <w:lvlJc w:val="left"/>
      <w:pPr>
        <w:ind w:left="4320" w:hanging="360"/>
      </w:pPr>
    </w:lvl>
    <w:lvl w:ilvl="6" w:tplc="5FB62240">
      <w:start w:val="1"/>
      <w:numFmt w:val="bullet"/>
      <w:lvlText w:val="●"/>
      <w:lvlJc w:val="left"/>
      <w:pPr>
        <w:ind w:left="5040" w:hanging="360"/>
      </w:pPr>
    </w:lvl>
    <w:lvl w:ilvl="7" w:tplc="60B8CC2E">
      <w:start w:val="1"/>
      <w:numFmt w:val="bullet"/>
      <w:lvlText w:val="●"/>
      <w:lvlJc w:val="left"/>
      <w:pPr>
        <w:ind w:left="5760" w:hanging="360"/>
      </w:pPr>
    </w:lvl>
    <w:lvl w:ilvl="8" w:tplc="80942DDC">
      <w:start w:val="1"/>
      <w:numFmt w:val="bullet"/>
      <w:lvlText w:val="●"/>
      <w:lvlJc w:val="left"/>
      <w:pPr>
        <w:ind w:left="6480" w:hanging="360"/>
      </w:pPr>
    </w:lvl>
  </w:abstractNum>
  <w:num w:numId="1" w16cid:durableId="254632510">
    <w:abstractNumId w:val="2"/>
    <w:lvlOverride w:ilvl="0">
      <w:startOverride w:val="1"/>
    </w:lvlOverride>
  </w:num>
  <w:num w:numId="2" w16cid:durableId="1329671408">
    <w:abstractNumId w:val="1"/>
    <w:lvlOverride w:ilvl="0">
      <w:startOverride w:val="1"/>
    </w:lvlOverride>
  </w:num>
  <w:num w:numId="3" w16cid:durableId="253785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F1B"/>
    <w:rsid w:val="000E1F1B"/>
    <w:rsid w:val="00226431"/>
    <w:rsid w:val="005125CC"/>
    <w:rsid w:val="00666D5A"/>
    <w:rsid w:val="006729B7"/>
    <w:rsid w:val="007D208D"/>
    <w:rsid w:val="00BC37C0"/>
    <w:rsid w:val="00DB7D60"/>
    <w:rsid w:val="00EB03B8"/>
    <w:rsid w:val="00F873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F89D7"/>
  <w15:docId w15:val="{1CB87888-EE85-40BE-8D62-2BECF4CDC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40"/>
      <w:outlineLvl w:val="0"/>
    </w:pPr>
    <w:rPr>
      <w:b/>
      <w:bCs/>
      <w:color w:val="3C3489"/>
      <w:sz w:val="34"/>
      <w:szCs w:val="34"/>
    </w:rPr>
  </w:style>
  <w:style w:type="paragraph" w:styleId="Titre2">
    <w:name w:val="heading 2"/>
    <w:uiPriority w:val="9"/>
    <w:unhideWhenUsed/>
    <w:qFormat/>
    <w:pPr>
      <w:spacing w:before="260" w:after="100"/>
      <w:outlineLvl w:val="1"/>
    </w:pPr>
    <w:rPr>
      <w:b/>
      <w:bCs/>
      <w:color w:val="3C348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1031</TotalTime>
  <Pages>15</Pages>
  <Words>5270</Words>
  <Characters>28989</Characters>
  <Application>Microsoft Office Word</Application>
  <DocSecurity>0</DocSecurity>
  <Lines>241</Lines>
  <Paragraphs>68</Paragraphs>
  <ScaleCrop>false</ScaleCrop>
  <Company/>
  <LinksUpToDate>false</LinksUpToDate>
  <CharactersWithSpaces>34191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DAF</cp:lastModifiedBy>
  <cp:revision>3</cp:revision>
  <dcterms:created xsi:type="dcterms:W3CDTF">2026-04-08T23:52:00Z</dcterms:created>
  <dcterms:modified xsi:type="dcterms:W3CDTF">2026-06-05T23:11:00Z</dcterms:modified>
</cp:coreProperties>
</file>