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SpectraForge Synthetic Data Generation — Application Guide</w:t>
      </w:r>
    </w:p>
    <w:p>
      <w:r>
        <w:t>A complete, step-by-step guide to how the SpectraForge generator builds synthetic multi-excitation</w:t>
      </w:r>
    </w:p>
    <w:p>
      <w:r>
        <w:t>hyperspectral imaging (ME-HSI) cubes: the physics, the parameters, the API, and recipes for every</w:t>
      </w:r>
    </w:p>
    <w:p>
      <w:r>
        <w:t>regime. Everything here is reproducible from the project venv.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1. Mental model</w:t>
      </w:r>
    </w:p>
    <w:p>
      <w:r>
        <w:t xml:space="preserve">A SpectraForge dataset is a stack of </w:t>
      </w:r>
      <w:r>
        <w:rPr>
          <w:b/>
        </w:rPr>
        <w:t>excitation–emission images</w:t>
      </w:r>
      <w:r>
        <w:t>. For each chosen **excitation</w:t>
      </w:r>
    </w:p>
    <w:p>
      <w:r>
        <w:t xml:space="preserve">wavelength** λ_ex, you get an image cube of shape </w:t>
      </w:r>
      <w:r>
        <w:rPr>
          <w:rFonts w:ascii="Consolas" w:hAnsi="Consolas"/>
          <w:color w:val="B03060"/>
          <w:sz w:val="19"/>
        </w:rPr>
        <w:t>(H, W, n_emission_bands)</w:t>
      </w:r>
      <w:r>
        <w:t>. Stacking all excitations</w:t>
      </w:r>
    </w:p>
    <w:p>
      <w:r>
        <w:t xml:space="preserve">gives, per pixel, a full </w:t>
      </w:r>
      <w:r>
        <w:rPr>
          <w:b/>
        </w:rPr>
        <w:t>excitation–emission matrix (EEM)</w:t>
      </w:r>
      <w:r>
        <w:t xml:space="preserve"> flattened to a feature vector of length</w:t>
      </w:r>
    </w:p>
    <w:p>
      <w:r>
        <w:rPr>
          <w:rFonts w:ascii="Consolas" w:hAnsi="Consolas"/>
          <w:color w:val="B03060"/>
          <w:sz w:val="19"/>
        </w:rPr>
        <w:t>n_excitations × n_emission_bands</w:t>
      </w:r>
      <w:r>
        <w:t xml:space="preserve">. A per-pixel </w:t>
      </w:r>
      <w:r>
        <w:rPr>
          <w:b/>
        </w:rPr>
        <w:t>class label</w:t>
      </w:r>
      <w:r>
        <w:t xml:space="preserve"> is assigned from the dominant</w:t>
      </w:r>
    </w:p>
    <w:p>
      <w:r>
        <w:t>discriminative fluorophore.</w:t>
      </w:r>
    </w:p>
    <w:p>
      <w:r>
        <w:t xml:space="preserve">The generator is </w:t>
      </w:r>
      <w:r>
        <w:rPr>
          <w:b/>
        </w:rPr>
        <w:t>physically additive and linear by default</w:t>
      </w:r>
      <w:r>
        <w:t xml:space="preserve"> — </w:t>
      </w:r>
      <w:r>
        <w:rPr>
          <w:rFonts w:ascii="Consolas" w:hAnsi="Consolas"/>
          <w:color w:val="B03060"/>
          <w:sz w:val="19"/>
        </w:rPr>
        <w:t>render(A+B) = render(A)+render(B)</w:t>
      </w:r>
      <w:r>
        <w:t xml:space="preserve"> —</w:t>
      </w:r>
    </w:p>
    <w:p>
      <w:r>
        <w:t>and becomes nonlinear only when you switch on inner-filter, reabsorption, or FRET. Realism (and</w:t>
      </w:r>
    </w:p>
    <w:p>
      <w:r>
        <w:t>difficulty) is added through nuisances, scatter, noise, and fixed-pattern clutter.</w:t>
      </w:r>
    </w:p>
    <w:p>
      <w:r>
        <w:t>Pipeline: **fluorophores → scene (concentration maps + labels) → forward render (per excitation) →</w:t>
      </w:r>
    </w:p>
    <w:p>
      <w:r>
        <w:t>optional physics → artifacts (scatter + noise) → optional clutter → feature matrix.**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2. The fluorophore model (</w:t>
      </w:r>
      <w:r>
        <w:rPr>
          <w:rFonts w:ascii="Consolas" w:hAnsi="Consolas"/>
          <w:color w:val="B03060"/>
          <w:sz w:val="19"/>
        </w:rPr>
        <w:t>spectraforge/fluorophore.py</w:t>
      </w:r>
      <w:r>
        <w:t>)</w:t>
      </w:r>
    </w:p>
    <w:p>
      <w:r>
        <w:t>Each fluorophore is a frozen dataclass with Gaussian bands (dilute-regime model). Its dilute contribution</w:t>
      </w:r>
    </w:p>
    <w:p>
      <w:r>
        <w:t>to a pixel is: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t>contribution(λ_ex, λ_em) = extinction · quantum_yield · excitation(λ_ex) · emission(λ_em) · concentration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t>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ex_peak_nm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ex_fwhm_nm</w:t>
            </w:r>
          </w:p>
        </w:tc>
        <w:tc>
          <w:tcPr>
            <w:tcW w:type="dxa" w:w="4320"/>
          </w:tcPr>
          <w:p>
            <w:r>
              <w:t>excitation (≈ absorption) Gaussian peak and full-width-half-max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em_peak_nm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em_fwhm_nm</w:t>
            </w:r>
          </w:p>
        </w:tc>
        <w:tc>
          <w:tcPr>
            <w:tcW w:type="dxa" w:w="4320"/>
          </w:tcPr>
          <w:p>
            <w:r>
              <w:t>emission Gaussian peak and FWHM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quantum_yield</w:t>
            </w:r>
            <w:r>
              <w:t xml:space="preserve"> (Φ)</w:t>
            </w:r>
          </w:p>
        </w:tc>
        <w:tc>
          <w:tcPr>
            <w:tcW w:type="dxa" w:w="4320"/>
          </w:tcPr>
          <w:p>
            <w:r>
              <w:t>radiative efficiency (Vavilov: ≈ excitation-independent)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extinction</w:t>
            </w:r>
            <w:r>
              <w:t xml:space="preserve"> (ε)</w:t>
            </w:r>
          </w:p>
        </w:tc>
        <w:tc>
          <w:tcPr>
            <w:tcW w:type="dxa" w:w="4320"/>
          </w:tcPr>
          <w:p>
            <w:r>
              <w:t>relative absorption strength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em_skew</w:t>
            </w:r>
          </w:p>
        </w:tc>
        <w:tc>
          <w:tcPr>
            <w:tcW w:type="dxa" w:w="4320"/>
          </w:tcPr>
          <w:p>
            <w:r>
              <w:t>0 = symmetric; &gt;0 = red-tailed emission (real asymmetry)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vibronic</w:t>
            </w:r>
          </w:p>
        </w:tc>
        <w:tc>
          <w:tcPr>
            <w:tcW w:type="dxa" w:w="4320"/>
          </w:tcPr>
          <w:p>
            <w:r>
              <w:t>&gt;0 adds a Franck–Condon shoulder ~1300 cm⁻¹ to the red (characteristic shape)</w:t>
            </w:r>
          </w:p>
        </w:tc>
      </w:tr>
    </w:tbl>
    <w:p/>
    <w:p>
      <w:pPr>
        <w:pStyle w:val="ListBullet"/>
      </w:pPr>
      <w:r>
        <w:rPr>
          <w:rFonts w:ascii="Consolas" w:hAnsi="Consolas"/>
          <w:color w:val="B03060"/>
          <w:sz w:val="19"/>
        </w:rPr>
        <w:t>excitation(wl)</w:t>
      </w:r>
      <w:r>
        <w:t xml:space="preserve"> returns a peak-normalised Gaussian (relative absorption probability).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emission(wl)</w:t>
      </w:r>
      <w:r>
        <w:t xml:space="preserve"> returns an </w:t>
      </w:r>
      <w:r>
        <w:rPr>
          <w:b/>
        </w:rPr>
        <w:t>area-normalised</w:t>
      </w:r>
      <w:r>
        <w:t xml:space="preserve"> (split-)Gaussian; with </w:t>
      </w:r>
      <w:r>
        <w:rPr>
          <w:rFonts w:ascii="Consolas" w:hAnsi="Consolas"/>
          <w:color w:val="B03060"/>
          <w:sz w:val="19"/>
        </w:rPr>
        <w:t>em_skew</w:t>
      </w:r>
      <w:r>
        <w:t>/</w:t>
      </w:r>
      <w:r>
        <w:rPr>
          <w:rFonts w:ascii="Consolas" w:hAnsi="Consolas"/>
          <w:color w:val="B03060"/>
          <w:sz w:val="19"/>
        </w:rPr>
        <w:t>vibronic</w:t>
      </w:r>
      <w:r>
        <w:t xml:space="preserve"> it becomes a</w:t>
      </w:r>
    </w:p>
    <w:p>
      <w:r>
        <w:t xml:space="preserve">red-tailed shape plus an optional vibronic shoulder — encoding </w:t>
      </w:r>
      <w:r>
        <w:rPr>
          <w:b/>
        </w:rPr>
        <w:t>Kasha</w:t>
      </w:r>
      <w:r>
        <w:t xml:space="preserve"> (shape independent of</w:t>
      </w:r>
    </w:p>
    <w:p>
      <w:r>
        <w:t xml:space="preserve">excitation) and </w:t>
      </w:r>
      <w:r>
        <w:rPr>
          <w:b/>
        </w:rPr>
        <w:t>Franck–Condon</w:t>
      </w:r>
      <w:r>
        <w:t xml:space="preserve"> (vibronic progression).</w:t>
      </w:r>
    </w:p>
    <w:p>
      <w:r>
        <w:t>Example:</w:t>
      </w:r>
    </w:p>
    <w:p>
      <w:r>
        <w:t>```python</w:t>
      </w:r>
    </w:p>
    <w:p>
      <w:r>
        <w:t>from spectraforge.fluorophore import Fluorophore</w:t>
      </w:r>
    </w:p>
    <w:p>
      <w:r>
        <w:t>D1 = Fluorophore("D1", ex_peak_nm=470, ex_fwhm_nm=35, em_peak_nm=515, em_fwhm_nm=45,</w:t>
      </w:r>
    </w:p>
    <w:p>
      <w:r>
        <w:t>extinction=0.5, quantum_yield=0.45, em_skew=0.4)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3. The scene (</w:t>
      </w:r>
      <w:r>
        <w:rPr>
          <w:rFonts w:ascii="Consolas" w:hAnsi="Consolas"/>
          <w:color w:val="B03060"/>
          <w:sz w:val="19"/>
        </w:rPr>
        <w:t>spectraforge/scenegen.py</w:t>
      </w:r>
      <w:r>
        <w:t xml:space="preserve">, </w:t>
      </w:r>
      <w:r>
        <w:rPr>
          <w:rFonts w:ascii="Consolas" w:hAnsi="Consolas"/>
          <w:color w:val="B03060"/>
          <w:sz w:val="19"/>
        </w:rPr>
        <w:t>scene.py</w:t>
      </w:r>
      <w:r>
        <w:t>)</w:t>
      </w:r>
    </w:p>
    <w:p>
      <w:r>
        <w:t xml:space="preserve">A </w:t>
      </w:r>
      <w:r>
        <w:rPr>
          <w:b/>
        </w:rPr>
        <w:t>Scene</w:t>
      </w:r>
      <w:r>
        <w:t xml:space="preserve"> holds a per-fluorophore concentration map </w:t>
      </w:r>
      <w:r>
        <w:rPr>
          <w:rFonts w:ascii="Consolas" w:hAnsi="Consolas"/>
          <w:color w:val="B03060"/>
          <w:sz w:val="19"/>
        </w:rPr>
        <w:t>(H, W)</w:t>
      </w:r>
      <w:r>
        <w:t>. Helpers: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random_field(H, W, seed, blur=2)</w:t>
      </w:r>
      <w:r>
        <w:t xml:space="preserve"> — a smooth random concentration field in [0,1] (organic gradients).</w:t>
      </w:r>
    </w:p>
    <w:p>
      <w:pPr>
        <w:pStyle w:val="ListBullet"/>
      </w:pPr>
      <w:r>
        <w:t>`make_confounded_scene(disc_materials, nuisance_materials, H, W, seed, *, disc_amp, nuisance_amp,</w:t>
      </w:r>
    </w:p>
    <w:p>
      <w:r>
        <w:t xml:space="preserve">turbidity_amp)` — </w:t>
      </w:r>
      <w:r>
        <w:rPr>
          <w:b/>
        </w:rPr>
        <w:t>the workhorse.</w:t>
      </w:r>
      <w:r>
        <w:t xml:space="preserve"> Discriminative materials get smooth fields whose per-pixel</w:t>
      </w:r>
    </w:p>
    <w:p>
      <w:r>
        <w:rPr>
          <w:b/>
        </w:rPr>
        <w:t>argmax defines the class label</w:t>
      </w:r>
      <w:r>
        <w:t>; nuisance materials get independent fields (bright, class-irrelevant).</w:t>
      </w:r>
    </w:p>
    <w:p>
      <w:r>
        <w:t xml:space="preserve">Returns </w:t>
      </w:r>
      <w:r>
        <w:rPr>
          <w:rFonts w:ascii="Consolas" w:hAnsi="Consolas"/>
          <w:color w:val="B03060"/>
          <w:sz w:val="19"/>
        </w:rPr>
        <w:t>(scene, labels, scatter_field)</w:t>
      </w:r>
      <w:r>
        <w:t xml:space="preserve">. This is what decouples </w:t>
      </w:r>
      <w:r>
        <w:rPr>
          <w:b/>
        </w:rPr>
        <w:t>variance from informativeness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make_interaction_scene(donor, acceptor, nuisances, H, W, seed, ...)</w:t>
      </w:r>
      <w:r>
        <w:t xml:space="preserve"> — class = </w:t>
      </w:r>
      <w:r>
        <w:rPr>
          <w:b/>
        </w:rPr>
        <w:t>XOR</w:t>
      </w:r>
      <w:r>
        <w:t xml:space="preserve"> of two dyes'</w:t>
      </w:r>
    </w:p>
    <w:p>
      <w:r>
        <w:t>median-binarised co-localisation (each dye's marginal is class-independent; the information is purely</w:t>
      </w:r>
    </w:p>
    <w:p>
      <w:r>
        <w:t>in the joint). Used with FRET for nonlinear regimes.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4. The forward render (</w:t>
      </w:r>
      <w:r>
        <w:rPr>
          <w:rFonts w:ascii="Consolas" w:hAnsi="Consolas"/>
          <w:color w:val="B03060"/>
          <w:sz w:val="19"/>
        </w:rPr>
        <w:t>spectraforge/forward.py::render</w:t>
      </w:r>
      <w:r>
        <w:t>)</w:t>
      </w:r>
    </w:p>
    <w:p>
      <w:r>
        <w:t>For each excitation λ_ex:</w:t>
      </w:r>
    </w:p>
    <w:p>
      <w:pPr>
        <w:pStyle w:val="ListNumber"/>
      </w:pPr>
      <w:r>
        <w:t>Compute a scale = lamp · exposure · power for that excitation.</w:t>
      </w:r>
    </w:p>
    <w:p>
      <w:pPr>
        <w:pStyle w:val="ListNumber"/>
      </w:pPr>
      <w:r>
        <w:t xml:space="preserve">For each fluorophore: </w:t>
      </w:r>
      <w:r>
        <w:rPr>
          <w:rFonts w:ascii="Consolas" w:hAnsi="Consolas"/>
          <w:color w:val="B03060"/>
          <w:sz w:val="19"/>
        </w:rPr>
        <w:t>amp = extinction · quantum_yield · excitation(λ_ex)</w:t>
      </w:r>
      <w:r>
        <w:t>; accumulate</w:t>
      </w:r>
    </w:p>
    <w:p>
      <w:r>
        <w:rPr>
          <w:rFonts w:ascii="Consolas" w:hAnsi="Consolas"/>
          <w:color w:val="B03060"/>
          <w:sz w:val="19"/>
        </w:rPr>
        <w:t>concentration · amp · emission(λ_em)</w:t>
      </w:r>
      <w:r>
        <w:t xml:space="preserve"> into the cube; accumulate excitation absorbance for inner-filter.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color w:val="B03060"/>
          <w:sz w:val="19"/>
        </w:rPr>
        <w:t>physics</w:t>
      </w:r>
      <w:r>
        <w:t xml:space="preserve"> is set: apply primary inner-filter and/or reabsorption (Section 6).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color w:val="B03060"/>
          <w:sz w:val="19"/>
        </w:rPr>
        <w:t>artifacts</w:t>
      </w:r>
      <w:r>
        <w:t xml:space="preserve"> is set: add Rayleigh + Raman scatter (scaled by the turbidity field) and photon + read</w:t>
      </w:r>
    </w:p>
    <w:p>
      <w:r>
        <w:t>noise (Section 5).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color w:val="B03060"/>
          <w:sz w:val="19"/>
        </w:rPr>
        <w:t>fret_pairs</w:t>
      </w:r>
      <w:r>
        <w:t xml:space="preserve"> is set: apply donor→acceptor transfer before summing per-fluorophore contributions.</w:t>
      </w:r>
    </w:p>
    <w:p>
      <w:r>
        <w:t xml:space="preserve">Result: a </w:t>
      </w:r>
      <w:r>
        <w:rPr>
          <w:rFonts w:ascii="Consolas" w:hAnsi="Consolas"/>
          <w:color w:val="B03060"/>
          <w:sz w:val="19"/>
        </w:rPr>
        <w:t>SpectraData</w:t>
      </w:r>
      <w:r>
        <w:t xml:space="preserve"> object (</w:t>
      </w:r>
      <w:r>
        <w:rPr>
          <w:rFonts w:ascii="Consolas" w:hAnsi="Consolas"/>
          <w:color w:val="B03060"/>
          <w:sz w:val="19"/>
        </w:rPr>
        <w:t>.excitation_wavelengths</w:t>
      </w:r>
      <w:r>
        <w:t xml:space="preserve">, </w:t>
      </w:r>
      <w:r>
        <w:rPr>
          <w:rFonts w:ascii="Consolas" w:hAnsi="Consolas"/>
          <w:color w:val="B03060"/>
          <w:sz w:val="19"/>
        </w:rPr>
        <w:t>.get_excitation(ex).cube</w:t>
      </w:r>
      <w:r>
        <w:t>,</w:t>
      </w:r>
    </w:p>
    <w:p>
      <w:r>
        <w:rPr>
          <w:rFonts w:ascii="Consolas" w:hAnsi="Consolas"/>
          <w:color w:val="B03060"/>
          <w:sz w:val="19"/>
        </w:rPr>
        <w:t>.emission_wavelengths</w:t>
      </w:r>
      <w:r>
        <w:t xml:space="preserve">) plus a </w:t>
      </w:r>
      <w:r>
        <w:rPr>
          <w:rFonts w:ascii="Consolas" w:hAnsi="Consolas"/>
          <w:color w:val="B03060"/>
          <w:sz w:val="19"/>
        </w:rPr>
        <w:t>GroundTruth</w:t>
      </w:r>
      <w:r>
        <w:t xml:space="preserve"> (concentration maps, clean cubes, per-fluorophore spectra).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5. Artifacts: scatter and noise (</w:t>
      </w:r>
      <w:r>
        <w:rPr>
          <w:rFonts w:ascii="Consolas" w:hAnsi="Consolas"/>
          <w:color w:val="B03060"/>
          <w:sz w:val="19"/>
        </w:rPr>
        <w:t>spectraforge/artifacts.py</w:t>
      </w:r>
      <w:r>
        <w:t>)</w:t>
      </w:r>
    </w:p>
    <w:p>
      <w:r>
        <w:rPr>
          <w:rFonts w:ascii="Consolas" w:hAnsi="Consolas"/>
          <w:color w:val="B03060"/>
          <w:sz w:val="19"/>
        </w:rPr>
        <w:t>ArtifactConfig(rayleigh_strength, raman_strength, second_order, photon_scale, read_sigma)</w:t>
      </w:r>
      <w:r>
        <w:t>:</w:t>
      </w:r>
    </w:p>
    <w:p>
      <w:pPr>
        <w:pStyle w:val="ListBullet"/>
      </w:pPr>
      <w:r>
        <w:rPr>
          <w:b/>
        </w:rPr>
        <w:t>Rayleigh</w:t>
      </w:r>
      <w:r>
        <w:t xml:space="preserve"> elastic scatter at λ_em = λ_ex (and 2λ_ex if </w:t>
      </w:r>
      <w:r>
        <w:rPr>
          <w:rFonts w:ascii="Consolas" w:hAnsi="Consolas"/>
          <w:color w:val="B03060"/>
          <w:sz w:val="19"/>
        </w:rPr>
        <w:t>second_order</w:t>
      </w:r>
      <w:r>
        <w:t>), scaled per pixel by the</w:t>
      </w:r>
    </w:p>
    <w:p>
      <w:r>
        <w:t>turbidity field — high-variance, zero chemical information.</w:t>
      </w:r>
    </w:p>
    <w:p>
      <w:pPr>
        <w:pStyle w:val="ListBullet"/>
      </w:pPr>
      <w:r>
        <w:rPr>
          <w:b/>
        </w:rPr>
        <w:t>Raman</w:t>
      </w:r>
      <w:r>
        <w:t xml:space="preserve"> inelastic scatter at a fixed energy offset.</w:t>
      </w:r>
    </w:p>
    <w:p>
      <w:pPr>
        <w:pStyle w:val="ListBullet"/>
      </w:pPr>
      <w:r>
        <w:rPr>
          <w:b/>
        </w:rPr>
        <w:t>Photon (shot) noise</w:t>
      </w:r>
      <w:r>
        <w:t xml:space="preserve"> via </w:t>
      </w:r>
      <w:r>
        <w:rPr>
          <w:rFonts w:ascii="Consolas" w:hAnsi="Consolas"/>
          <w:color w:val="B03060"/>
          <w:sz w:val="19"/>
        </w:rPr>
        <w:t>photon_scale</w:t>
      </w:r>
      <w:r>
        <w:t xml:space="preserve"> (higher = less noise); </w:t>
      </w:r>
      <w:r>
        <w:rPr>
          <w:b/>
        </w:rPr>
        <w:t>read noise</w:t>
      </w:r>
      <w:r>
        <w:t xml:space="preserve"> via Gaussian</w:t>
      </w:r>
    </w:p>
    <w:p>
      <w:r>
        <w:rPr>
          <w:rFonts w:ascii="Consolas" w:hAnsi="Consolas"/>
          <w:color w:val="B03060"/>
          <w:sz w:val="19"/>
        </w:rPr>
        <w:t>read_sigma</w:t>
      </w:r>
      <w:r>
        <w:t>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6. Optional nonlinear physics (</w:t>
      </w:r>
      <w:r>
        <w:rPr>
          <w:rFonts w:ascii="Consolas" w:hAnsi="Consolas"/>
          <w:color w:val="B03060"/>
          <w:sz w:val="19"/>
        </w:rPr>
        <w:t>spectraforge/physics.py</w:t>
      </w:r>
      <w:r>
        <w:t>)</w:t>
      </w:r>
    </w:p>
    <w:p>
      <w:r>
        <w:t>`PhysicsConfig(psf_sigma_px, inner_filter, inner_filter_strength, reabsorption, reabsorption_strength,</w:t>
      </w:r>
    </w:p>
    <w:p>
      <w:r>
        <w:t>autofluorescence, ...)`:</w:t>
      </w:r>
    </w:p>
    <w:p>
      <w:pPr>
        <w:pStyle w:val="ListBullet"/>
      </w:pPr>
      <w:r>
        <w:rPr>
          <w:b/>
        </w:rPr>
        <w:t>`psf_sigma_px`</w:t>
      </w:r>
      <w:r>
        <w:t xml:space="preserve"> — optical point-spread blur (per band).</w:t>
      </w:r>
    </w:p>
    <w:p>
      <w:pPr>
        <w:pStyle w:val="ListBullet"/>
      </w:pPr>
      <w:r>
        <w:rPr>
          <w:b/>
        </w:rPr>
        <w:t>`inner_filter`</w:t>
      </w:r>
      <w:r>
        <w:t xml:space="preserve"> — primary Beer–Lambert: signal × </w:t>
      </w:r>
      <w:r>
        <w:rPr>
          <w:rFonts w:ascii="Consolas" w:hAnsi="Consolas"/>
          <w:color w:val="B03060"/>
          <w:sz w:val="19"/>
        </w:rPr>
        <w:t>exp(-strength · A_ex)</w:t>
      </w:r>
      <w:r>
        <w:t xml:space="preserve"> (per-pixel scalar; first</w:t>
      </w:r>
    </w:p>
    <w:p>
      <w:r>
        <w:t>nonlinearity).</w:t>
      </w:r>
    </w:p>
    <w:p>
      <w:pPr>
        <w:pStyle w:val="ListBullet"/>
      </w:pPr>
      <w:r>
        <w:rPr>
          <w:b/>
        </w:rPr>
        <w:t>`reabsorption`</w:t>
      </w:r>
      <w:r>
        <w:t xml:space="preserve"> — secondary inner-filter / self-absorption: emission × </w:t>
      </w:r>
      <w:r>
        <w:rPr>
          <w:rFonts w:ascii="Consolas" w:hAnsi="Consolas"/>
          <w:color w:val="B03060"/>
          <w:sz w:val="19"/>
        </w:rPr>
        <w:t>exp(-strength · A_em(λ))</w:t>
      </w:r>
    </w:p>
    <w:p>
      <w:r>
        <w:t xml:space="preserve">where </w:t>
      </w:r>
      <w:r>
        <w:rPr>
          <w:rFonts w:ascii="Consolas" w:hAnsi="Consolas"/>
          <w:color w:val="B03060"/>
          <w:sz w:val="19"/>
        </w:rPr>
        <w:t>A_em(λ)=Σ_k ε_k c_k · absorption_k(λ)</w:t>
      </w:r>
      <w:r>
        <w:t>. Because absorption overlaps the blue edge of emission,</w:t>
      </w:r>
    </w:p>
    <w:p>
      <w:r>
        <w:t xml:space="preserve">this </w:t>
      </w:r>
      <w:r>
        <w:rPr>
          <w:b/>
        </w:rPr>
        <w:t>reshapes the band</w:t>
      </w:r>
      <w:r>
        <w:t xml:space="preserve"> (suppresses blue edge, apparent red-shift) as a function of concentration —</w:t>
      </w:r>
    </w:p>
    <w:p>
      <w:r>
        <w:t>a nonlinearity that relocates information into band *shape*.</w:t>
      </w:r>
    </w:p>
    <w:p>
      <w:pPr>
        <w:pStyle w:val="ListBullet"/>
      </w:pPr>
      <w:r>
        <w:rPr>
          <w:b/>
        </w:rPr>
        <w:t>`apply_fret(contribs, absorbed, conc, library, em, pairs)`</w:t>
      </w:r>
      <w:r>
        <w:t xml:space="preserve"> — for each </w:t>
      </w:r>
      <w:r>
        <w:rPr>
          <w:rFonts w:ascii="Consolas" w:hAnsi="Consolas"/>
          <w:color w:val="B03060"/>
          <w:sz w:val="19"/>
        </w:rPr>
        <w:t>(donor, acceptor, k)</w:t>
      </w:r>
      <w:r>
        <w:t>,</w:t>
      </w:r>
    </w:p>
    <w:p>
      <w:r>
        <w:t xml:space="preserve">transfer fraction </w:t>
      </w:r>
      <w:r>
        <w:rPr>
          <w:rFonts w:ascii="Consolas" w:hAnsi="Consolas"/>
          <w:color w:val="B03060"/>
          <w:sz w:val="19"/>
        </w:rPr>
        <w:t>E = k·c_A/(1+k·c_A)</w:t>
      </w:r>
      <w:r>
        <w:t xml:space="preserve"> of donor energy: donor quenched by </w:t>
      </w:r>
      <w:r>
        <w:rPr>
          <w:rFonts w:ascii="Consolas" w:hAnsi="Consolas"/>
          <w:color w:val="B03060"/>
          <w:sz w:val="19"/>
        </w:rPr>
        <w:t>(1-E)</w:t>
      </w:r>
      <w:r>
        <w:t>, acceptor sensitised</w:t>
      </w:r>
    </w:p>
    <w:p>
      <w:r>
        <w:t xml:space="preserve">by </w:t>
      </w:r>
      <w:r>
        <w:rPr>
          <w:rFonts w:ascii="Consolas" w:hAnsi="Consolas"/>
          <w:color w:val="B03060"/>
          <w:sz w:val="19"/>
        </w:rPr>
        <w:t>E · absorbed_donor · Φ_A</w:t>
      </w:r>
      <w:r>
        <w:t>. Encodes dye co-localisation in the band ratio (saturating, product).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7. Fixed-pattern clutter (</w:t>
      </w:r>
      <w:r>
        <w:rPr>
          <w:rFonts w:ascii="Consolas" w:hAnsi="Consolas"/>
          <w:color w:val="B03060"/>
          <w:sz w:val="19"/>
        </w:rPr>
        <w:t>reports/realistic_benchmark.py::add_cube_clutter</w:t>
      </w:r>
      <w:r>
        <w:t>)</w:t>
      </w:r>
    </w:p>
    <w:p>
      <w:r>
        <w:t xml:space="preserve">The dominant real-instrument confound. </w:t>
      </w:r>
      <w:r>
        <w:rPr>
          <w:rFonts w:ascii="Consolas" w:hAnsi="Consolas"/>
          <w:color w:val="B03060"/>
          <w:sz w:val="19"/>
        </w:rPr>
        <w:t>add_cube_clutter(spectra, size, seed, n_modes, amp)</w:t>
      </w:r>
      <w:r>
        <w:t xml:space="preserve"> injects</w:t>
      </w:r>
    </w:p>
    <w:p>
      <w:r>
        <w:rPr>
          <w:rFonts w:ascii="Consolas" w:hAnsi="Consolas"/>
          <w:color w:val="B03060"/>
          <w:sz w:val="19"/>
        </w:rPr>
        <w:t>n_modes</w:t>
      </w:r>
      <w:r>
        <w:t xml:space="preserve"> independent </w:t>
      </w:r>
      <w:r>
        <w:rPr>
          <w:b/>
        </w:rPr>
        <w:t>class-irrelevant</w:t>
      </w:r>
      <w:r>
        <w:t xml:space="preserve"> smooth spatial fields, each imprinted on a random band subset</w:t>
      </w:r>
    </w:p>
    <w:p>
      <w:r>
        <w:t xml:space="preserve">with a random per-band gain (amplitude </w:t>
      </w:r>
      <w:r>
        <w:rPr>
          <w:rFonts w:ascii="Consolas" w:hAnsi="Consolas"/>
          <w:color w:val="B03060"/>
          <w:sz w:val="19"/>
        </w:rPr>
        <w:t>amp · cube_std</w:t>
      </w:r>
      <w:r>
        <w:t>). Clutter is high-variance but carries no class</w:t>
      </w:r>
    </w:p>
    <w:p>
      <w:r>
        <w:t>information — which is exactly why unsupervised, variance/reconstruction-based selection collapses to</w:t>
      </w:r>
    </w:p>
    <w:p>
      <w:r>
        <w:t>chance under it. (Modelled as the analogue of illumination/detector fixed-pattern noise.)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 xml:space="preserve">8. The one-call API: </w:t>
      </w:r>
      <w:r>
        <w:rPr>
          <w:rFonts w:ascii="Consolas" w:hAnsi="Consolas"/>
          <w:color w:val="B03060"/>
          <w:sz w:val="19"/>
        </w:rPr>
        <w:t>build_dataset</w:t>
      </w:r>
      <w:r>
        <w:t xml:space="preserve"> (</w:t>
      </w:r>
      <w:r>
        <w:rPr>
          <w:rFonts w:ascii="Consolas" w:hAnsi="Consolas"/>
          <w:color w:val="B03060"/>
          <w:sz w:val="19"/>
        </w:rPr>
        <w:t>reports/realistic_benchmark.py</w:t>
      </w:r>
      <w:r>
        <w:t>)</w:t>
      </w:r>
    </w:p>
    <w:p>
      <w:r>
        <w:t>```python</w:t>
      </w:r>
    </w:p>
    <w:p>
      <w:r>
        <w:t>from realistic_benchmark import build_dataset</w:t>
      </w:r>
    </w:p>
    <w:p>
      <w:r>
        <w:t>spectra, ground_truth, labels, acquisition = build_dataset(</w:t>
      </w:r>
    </w:p>
    <w:p>
      <w:r>
        <w:t>seed=1, size=64, em_step=2,                 # 64x64 scene, emission 420-700 nm @ 2 nm = 141 bands</w:t>
      </w:r>
    </w:p>
    <w:p>
      <w:r>
        <w:t>nuisance_amp=1.2, turbidity_amp=0.6,        # nuisance brightness, turbidity</w:t>
      </w:r>
    </w:p>
    <w:p>
      <w:r>
        <w:t>rayleigh=0.35, raman=0.30,                  # scatter strengths</w:t>
      </w:r>
    </w:p>
    <w:p>
      <w:r>
        <w:t>photon_scale=2000, read_sigma=0.005,        # noise</w:t>
      </w:r>
    </w:p>
    <w:p>
      <w:r>
        <w:t>reabsorption=False, reabsorption_strength=2.5,  # nonlinear self-absorption</w:t>
      </w:r>
    </w:p>
    <w:p>
      <w:r>
        <w:t>disc_extinction=None,                        # override discriminative dye brightness</w:t>
      </w:r>
    </w:p>
    <w:p>
      <w:r>
        <w:t>clutter_modes=0, clutter_amp=0.0)            # fixed-pattern clutter</w:t>
      </w:r>
    </w:p>
    <w:p>
      <w:r>
        <w:rPr>
          <w:rFonts w:ascii="Consolas" w:hAnsi="Consolas"/>
          <w:color w:val="B03060"/>
          <w:sz w:val="19"/>
        </w:rPr>
        <w:t>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seed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reproducibility (scene + noise)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size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scene H=W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em_step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emission sampling (nm); 2 → 141 bands, 5 → 57 bands (× 4 excitations)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nuisance_amp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brightness of class-irrelevant nuisance dyes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turbidity_amp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spatially-varying scatter strength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rayleigh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raman</w:t>
            </w:r>
          </w:p>
        </w:tc>
        <w:tc>
          <w:tcPr>
            <w:tcW w:type="dxa" w:w="2880"/>
          </w:tcPr>
          <w:p>
            <w:r>
              <w:t>0.5, 0.4</w:t>
            </w:r>
          </w:p>
        </w:tc>
        <w:tc>
          <w:tcPr>
            <w:tcW w:type="dxa" w:w="2880"/>
          </w:tcPr>
          <w:p>
            <w:r>
              <w:t>scatter ridge strengths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photon_scale</w:t>
            </w:r>
          </w:p>
        </w:tc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shot-noise (higher = cleaner)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read_sigma</w:t>
            </w:r>
          </w:p>
        </w:tc>
        <w:tc>
          <w:tcPr>
            <w:tcW w:type="dxa" w:w="2880"/>
          </w:tcPr>
          <w:p>
            <w:r>
              <w:t>0.005</w:t>
            </w:r>
          </w:p>
        </w:tc>
        <w:tc>
          <w:tcPr>
            <w:tcW w:type="dxa" w:w="2880"/>
          </w:tcPr>
          <w:p>
            <w:r>
              <w:t>Gaussian read noise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reabsorption[_strength]</w:t>
            </w:r>
          </w:p>
        </w:tc>
        <w:tc>
          <w:tcPr>
            <w:tcW w:type="dxa" w:w="2880"/>
          </w:tcPr>
          <w:p>
            <w:r>
              <w:t>False / 2.5</w:t>
            </w:r>
          </w:p>
        </w:tc>
        <w:tc>
          <w:tcPr>
            <w:tcW w:type="dxa" w:w="2880"/>
          </w:tcPr>
          <w:p>
            <w:r>
              <w:t>nonlinear band reshaping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disc_extinction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override discriminative dye extinction (signal strength)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clutter_modes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clutter_amp</w:t>
            </w:r>
          </w:p>
        </w:tc>
        <w:tc>
          <w:tcPr>
            <w:tcW w:type="dxa" w:w="2880"/>
          </w:tcPr>
          <w:p>
            <w:r>
              <w:t>0, 0.0</w:t>
            </w:r>
          </w:p>
        </w:tc>
        <w:tc>
          <w:tcPr>
            <w:tcW w:type="dxa" w:w="2880"/>
          </w:tcPr>
          <w:p>
            <w:r>
              <w:t>fixed-pattern clutter (count, amplitude)</w:t>
            </w:r>
          </w:p>
        </w:tc>
      </w:tr>
    </w:tbl>
    <w:p/>
    <w:p>
      <w:r>
        <w:t>Fixed in the call: excitations {405, 470, 488, 506} nm, emission 420–700 nm. To get the feature matrix:</w:t>
      </w:r>
    </w:p>
    <w:p>
      <w:r>
        <w:t>```python</w:t>
      </w:r>
    </w:p>
    <w:p>
      <w:r>
        <w:t>from classification_experiment import feature_matrix</w:t>
      </w:r>
    </w:p>
    <w:p>
      <w:r>
        <w:t>X, colmap = feature_matrix(spectra)   # X: (n_pixels, n_features); colmap[j] = (excitation_nm, emission_nm)</w:t>
      </w:r>
    </w:p>
    <w:p>
      <w:r>
        <w:t>y = labels.ravel()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9. Regime recipes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clean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build_dataset(seed, nuisance_amp=0.4, turbidity_amp=0.1, rayleigh=0.1, raman=0.1, photon_scale=50000, read_sigma=0.002)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realistic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build_dataset(seed)</w:t>
            </w:r>
            <w:r>
              <w:t xml:space="preserve"> (defaults)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clutter (L4)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build_dataset(seed, nuisance_amp=2.0, photon_scale=600, read_sigma=0.009, clutter_modes=36, clutter_amp=3.3)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reabsorption (nonlinear)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build_dataset(seed, reabsorption=True, reabsorption_strength=4.0)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FRET / XOR (nonlinear)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reports/fret_regime.py::build_fret_dataset(seed, k=5.0)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spatial texture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reports/spatial_regime.py::build_spatial(seed)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10. Reproducing the paper figures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t>python reports/paper_figures.py    # re-runs the simulations, writes paper/figures/*.png + params.json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rPr>
          <w:rFonts w:ascii="Consolas" w:hAnsi="Consolas"/>
          <w:color w:val="B03060"/>
          <w:sz w:val="19"/>
        </w:rPr>
        <w:t>paper/figures/params.json</w:t>
      </w:r>
      <w:r>
        <w:t xml:space="preserve"> records the exact configuration/parameters behind every figure. For the</w:t>
      </w:r>
    </w:p>
    <w:p>
      <w:r>
        <w:t xml:space="preserve">headline result numbers see </w:t>
      </w:r>
      <w:r>
        <w:rPr>
          <w:rFonts w:ascii="Consolas" w:hAnsi="Consolas"/>
          <w:color w:val="B03060"/>
          <w:sz w:val="19"/>
        </w:rPr>
        <w:t>beat_random.py</w:t>
      </w:r>
      <w:r>
        <w:t xml:space="preserve">, </w:t>
      </w:r>
      <w:r>
        <w:rPr>
          <w:rFonts w:ascii="Consolas" w:hAnsi="Consolas"/>
          <w:color w:val="B03060"/>
          <w:sz w:val="19"/>
        </w:rPr>
        <w:t>compression_curve.py</w:t>
      </w:r>
      <w:r>
        <w:t xml:space="preserve">, </w:t>
      </w:r>
      <w:r>
        <w:rPr>
          <w:rFonts w:ascii="Consolas" w:hAnsi="Consolas"/>
          <w:color w:val="B03060"/>
          <w:sz w:val="19"/>
        </w:rPr>
        <w:t>spatial_regime.py</w:t>
      </w:r>
      <w:r>
        <w:t>, and the full</w:t>
      </w:r>
    </w:p>
    <w:p>
      <w:r>
        <w:t xml:space="preserve">campaign log </w:t>
      </w:r>
      <w:r>
        <w:rPr>
          <w:rFonts w:ascii="Consolas" w:hAnsi="Consolas"/>
          <w:color w:val="B03060"/>
          <w:sz w:val="19"/>
        </w:rPr>
        <w:t>docs/spectraforge/OVERNIGHT-LOG.md</w:t>
      </w:r>
      <w:r>
        <w:t>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11. Honest-use checklist</w:t>
      </w:r>
    </w:p>
    <w:p>
      <w:r>
        <w:t xml:space="preserve">When evaluating any selector on SpectraForge data, </w:t>
      </w:r>
      <w:r>
        <w:rPr>
          <w:b/>
        </w:rPr>
        <w:t>always include two controls</w:t>
      </w:r>
      <w:r>
        <w:t>:</w:t>
      </w:r>
    </w:p>
    <w:p>
      <w:pPr>
        <w:pStyle w:val="ListBullet"/>
      </w:pPr>
      <w:r>
        <w:rPr>
          <w:b/>
        </w:rPr>
        <w:t>`random`</w:t>
      </w:r>
      <w:r>
        <w:t xml:space="preserve"> band selection — if a method cannot beat the 95th percentile of random subsets, it adds</w:t>
      </w:r>
    </w:p>
    <w:p>
      <w:r>
        <w:t>nothing.</w:t>
      </w:r>
    </w:p>
    <w:p>
      <w:pPr>
        <w:pStyle w:val="ListBullet"/>
      </w:pPr>
      <w:r>
        <w:rPr>
          <w:b/>
        </w:rPr>
        <w:t>`full`</w:t>
      </w:r>
      <w:r>
        <w:t xml:space="preserve"> spectrum — the accuracy ceiling a selector is trying to approach.</w:t>
      </w:r>
    </w:p>
    <w:p>
      <w:r>
        <w:t xml:space="preserve">For spatial regimes, use </w:t>
      </w:r>
      <w:r>
        <w:rPr>
          <w:b/>
        </w:rPr>
        <w:t>spatial-block cross-validation</w:t>
      </w:r>
      <w:r>
        <w:t xml:space="preserve"> (train/test on disjoint image blocks) to</w:t>
      </w:r>
    </w:p>
    <w:p>
      <w:r>
        <w:t>avoid spatial-autocorrelation leakage. These controls are the difference between an honest result and a</w:t>
      </w:r>
    </w:p>
    <w:p>
      <w:r>
        <w:t>self-deception (the central lesson of this project).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