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SpectraForge: A Physics-Grounded Synthetic Benchmark for Band Selection in Multi-Excitation Hyperspectral Imaging, and an Honest Appraisal of Autoencoder-Based Selectors</w:t>
      </w:r>
    </w:p>
    <w:p>
      <w:r>
        <w:rPr>
          <w:b/>
        </w:rPr>
        <w:t>Author:</w:t>
      </w:r>
      <w:r>
        <w:t xml:space="preserve"> Narek (with the SpectraForge research agent)</w:t>
      </w:r>
    </w:p>
    <w:p>
      <w:r>
        <w:rPr>
          <w:b/>
        </w:rPr>
        <w:t>Date:</w:t>
      </w:r>
      <w:r>
        <w:t xml:space="preserve"> June 2026</w:t>
      </w:r>
    </w:p>
    <w:p>
      <w:pPr>
        <w:pStyle w:val="Heading1"/>
      </w:pPr>
      <w:r>
        <w:t>Abstract</w:t>
      </w:r>
    </w:p>
    <w:p>
      <w:r>
        <w:t xml:space="preserve">We present </w:t>
      </w:r>
      <w:r>
        <w:rPr>
          <w:b/>
        </w:rPr>
        <w:t>SpectraForge</w:t>
      </w:r>
      <w:r>
        <w:t>, a physics-grounded synthetic generator for multi-excitation hyperspectral</w:t>
      </w:r>
    </w:p>
    <w:p>
      <w:r>
        <w:t>imaging (ME-HSI), and a rigorous, significance-tested study of band-selection methods built on it — in</w:t>
      </w:r>
    </w:p>
    <w:p>
      <w:r>
        <w:t xml:space="preserve">particular the </w:t>
      </w:r>
      <w:r>
        <w:rPr>
          <w:b/>
        </w:rPr>
        <w:t>autoencoder (AE) + latent-perturbation</w:t>
      </w:r>
      <w:r>
        <w:t xml:space="preserve"> idea and its convolutional variant (CAE). The</w:t>
      </w:r>
    </w:p>
    <w:p>
      <w:r>
        <w:t>generator renders excitation–emission cubes from a parametric fluorophore model obeying the standard</w:t>
      </w:r>
    </w:p>
    <w:p>
      <w:r>
        <w:t>laws of fluorescence photophysics (Kasha, Vavilov, Franck–Condon, Stokes shift), with optional</w:t>
      </w:r>
    </w:p>
    <w:p>
      <w:r>
        <w:t>inner-filter, reabsorption, Förster resonance energy transfer (FRET), scatter, photon/read noise, and</w:t>
      </w:r>
    </w:p>
    <w:p>
      <w:r>
        <w:t>fixed-pattern clutter. Crucially, scenes are constructed so that **variance is decoupled from</w:t>
      </w:r>
    </w:p>
    <w:p>
      <w:r>
        <w:t>informativeness</w:t>
      </w:r>
      <w:r>
        <w:rPr>
          <w:b/>
        </w:rPr>
        <w:t xml:space="preserve">, making the benchmark an honest test. Across </w:t>
      </w:r>
      <w:r>
        <w:t>~32 experiments in three rounds**, with</w:t>
      </w:r>
    </w:p>
    <w:p>
      <w:r>
        <w:t>full freedom over both the generator and the models, we find: (i) once debugged, the AE+perturbation</w:t>
      </w:r>
    </w:p>
    <w:p>
      <w:r>
        <w:t>method becomes competitive with classical baselines but **does not beat a random-selection control under</w:t>
      </w:r>
    </w:p>
    <w:p>
      <w:r>
        <w:t>realistic clutter</w:t>
      </w:r>
      <w:r>
        <w:rPr>
          <w:b/>
        </w:rPr>
        <w:t xml:space="preserve">, and </w:t>
      </w:r>
      <w:r>
        <w:t>never beats using the full spectrum**; (ii) the value of selection is</w:t>
      </w:r>
    </w:p>
    <w:p>
      <w:r>
        <w:t xml:space="preserve">compression, and where it matters it requires </w:t>
      </w:r>
      <w:r>
        <w:rPr>
          <w:b/>
        </w:rPr>
        <w:t>labels</w:t>
      </w:r>
      <w:r>
        <w:t xml:space="preserve"> (supervised mutual information / RF-importance);</w:t>
      </w:r>
    </w:p>
    <w:p>
      <w:r>
        <w:t xml:space="preserve">(iii) the AE provides </w:t>
      </w:r>
      <w:r>
        <w:rPr>
          <w:b/>
        </w:rPr>
        <w:t>no distinct advantage over PCA</w:t>
      </w:r>
      <w:r>
        <w:t xml:space="preserve"> in any per-pixel role (selection or denoising);</w:t>
      </w:r>
    </w:p>
    <w:p>
      <w:r>
        <w:t xml:space="preserve">and (iv) the </w:t>
      </w:r>
      <w:r>
        <w:rPr>
          <w:b/>
        </w:rPr>
        <w:t>one structural win</w:t>
      </w:r>
      <w:r>
        <w:t xml:space="preserve"> is that a </w:t>
      </w:r>
      <w:r>
        <w:rPr>
          <w:b/>
        </w:rPr>
        <w:t>convolutional/spatial</w:t>
      </w:r>
      <w:r>
        <w:t xml:space="preserve"> model is *necessary* — and</w:t>
      </w:r>
    </w:p>
    <w:p>
      <w:r>
        <w:t>per-pixel methods *provably blind* — when discrimination is carried by spatial texture. We document the</w:t>
      </w:r>
    </w:p>
    <w:p>
      <w:r>
        <w:t>generator in full detail and provide an application guide so the benchmark is fully reproducible.</w:t>
      </w:r>
    </w:p>
    <w:p>
      <w:pPr>
        <w:pStyle w:val="Heading1"/>
      </w:pPr>
      <w:r>
        <w:t>1. Introduction</w:t>
      </w:r>
    </w:p>
    <w:p>
      <w:r>
        <w:t xml:space="preserve">A multi-excitation hyperspectral cube records, for every pixel, an </w:t>
      </w:r>
      <w:r>
        <w:rPr>
          <w:b/>
        </w:rPr>
        <w:t>excitation–emission matrix (EEM)</w:t>
      </w:r>
      <w:r>
        <w:t>:</w:t>
      </w:r>
    </w:p>
    <w:p>
      <w:r>
        <w:t>the sample is illuminated at several excitation wavelengths and, for each, the emission spectrum is</w:t>
      </w:r>
    </w:p>
    <w:p>
      <w:r>
        <w:t>acquired across many bands. The per-pixel feature vector (excitations × emission bands) is high</w:t>
      </w:r>
    </w:p>
    <w:p>
      <w:r>
        <w:t>dimensional and largely redundant; only a small subset of (excitation, emission) bands carries the</w:t>
      </w:r>
    </w:p>
    <w:p>
      <w:r>
        <w:t xml:space="preserve">information that distinguishes materials. </w:t>
      </w:r>
      <w:r>
        <w:rPr>
          <w:b/>
        </w:rPr>
        <w:t>Band selection</w:t>
      </w:r>
      <w:r>
        <w:t xml:space="preserve"> chooses that subset, so a cheaper instrument</w:t>
      </w:r>
    </w:p>
    <w:p>
      <w:r>
        <w:t>can acquire only the informative bands or a downstream classifier can run on a compact feature set.</w:t>
      </w:r>
    </w:p>
    <w:p>
      <w:r>
        <w:t xml:space="preserve">The idea under test is </w:t>
      </w:r>
      <w:r>
        <w:rPr>
          <w:b/>
        </w:rPr>
        <w:t>AE + latent-perturbation selection</w:t>
      </w:r>
      <w:r>
        <w:t>: train an autoencoder to reconstruct the</w:t>
      </w:r>
    </w:p>
    <w:p>
      <w:r>
        <w:t>cube; perturb each latent dimension and measure how strongly each input band's reconstruction responds;</w:t>
      </w:r>
    </w:p>
    <w:p>
      <w:r>
        <w:t>accumulate these per-band influences and select the top-k. It is attractive because it is *unsupervised*</w:t>
      </w:r>
    </w:p>
    <w:p>
      <w:r>
        <w:t>yet could in principle capture *nonlinear* structure linear methods (PCA loadings, variance) cannot.</w:t>
      </w:r>
    </w:p>
    <w:p>
      <w:r>
        <w:t>This paper documents (a) the physics-grounded generator that makes the test honest and (b) the</w:t>
      </w:r>
    </w:p>
    <w:p>
      <w:r>
        <w:t>significance-tested verdict on whether the AE/CAE actually helps.</w:t>
      </w:r>
    </w:p>
    <w:p>
      <w:pPr>
        <w:pStyle w:val="Heading1"/>
      </w:pPr>
      <w:r>
        <w:t>2. Synthetic data generation: the SpectraForge forward model</w:t>
      </w:r>
    </w:p>
    <w:p>
      <w:pPr>
        <w:pStyle w:val="Heading2"/>
      </w:pPr>
      <w:r>
        <w:t>2.1 The laws of fluorescence photophysics</w:t>
      </w:r>
    </w:p>
    <w:p>
      <w:r>
        <w:t>The generator is grounded in the real photophysics of fluorescence so that synthetic EEMs are</w:t>
      </w:r>
    </w:p>
    <w:p>
      <w:r>
        <w:t>structurally faithful and "informative" means what it means physically:</w:t>
      </w:r>
    </w:p>
    <w:p>
      <w:pPr>
        <w:pStyle w:val="ListBullet"/>
      </w:pPr>
      <w:r>
        <w:rPr>
          <w:b/>
        </w:rPr>
        <w:t>Jablonski / electronic states.</w:t>
      </w:r>
      <w:r>
        <w:t xml:space="preserve"> A fluorophore absorbs a photon (S₀→S₁/S₂…), relaxes</w:t>
      </w:r>
    </w:p>
    <w:p>
      <w:r>
        <w:t>non-radiatively to the lowest vibrational level of S₁ (internal conversion + vibrational relaxation,</w:t>
      </w:r>
    </w:p>
    <w:p>
      <w:r>
        <w:t>picoseconds), then emits.</w:t>
      </w:r>
    </w:p>
    <w:p>
      <w:pPr>
        <w:pStyle w:val="ListBullet"/>
      </w:pPr>
      <w:r>
        <w:rPr>
          <w:b/>
        </w:rPr>
        <w:t>Kasha's rule.</w:t>
      </w:r>
      <w:r>
        <w:t xml:space="preserve"> Emission occurs from the lowest vibrational level of S₁ regardless of excitation —</w:t>
      </w:r>
    </w:p>
    <w:p>
      <w:r>
        <w:t xml:space="preserve">so the </w:t>
      </w:r>
      <w:r>
        <w:rPr>
          <w:b/>
        </w:rPr>
        <w:t>emission shape is independent of excitation wavelength</w:t>
      </w:r>
      <w:r>
        <w:t>, and the EEM is approximately</w:t>
      </w:r>
    </w:p>
    <w:p>
      <w:r>
        <w:rPr>
          <w:b/>
        </w:rPr>
        <w:t>trilinear</w:t>
      </w:r>
      <w:r>
        <w:t xml:space="preserve"> (excitation profile × emission profile × concentration). This is the basis of PARAFAC.</w:t>
      </w:r>
    </w:p>
    <w:p>
      <w:pPr>
        <w:pStyle w:val="ListBullet"/>
      </w:pPr>
      <w:r>
        <w:rPr>
          <w:b/>
        </w:rPr>
        <w:t>Vavilov's rule.</w:t>
      </w:r>
      <w:r>
        <w:t xml:space="preserve"> Quantum yield is (to first order) independent of excitation wavelength; only the</w:t>
      </w:r>
    </w:p>
    <w:p>
      <w:r>
        <w:t>amount absorbed changes with excitation.</w:t>
      </w:r>
    </w:p>
    <w:p>
      <w:pPr>
        <w:pStyle w:val="ListBullet"/>
      </w:pPr>
      <w:r>
        <w:rPr>
          <w:b/>
        </w:rPr>
        <w:t>Franck–Condon principle.</w:t>
      </w:r>
      <w:r>
        <w:t xml:space="preserve"> Vibronic band intensities follow Franck–Condon factors, giving the</w:t>
      </w:r>
    </w:p>
    <w:p>
      <w:r>
        <w:t>broadened, roughly mirror-image excitation/emission envelopes; the optional vibronic shoulder models</w:t>
      </w:r>
    </w:p>
    <w:p>
      <w:r>
        <w:t>the progression that gives a dye its characteristic *shape*.</w:t>
      </w:r>
    </w:p>
    <w:p>
      <w:pPr>
        <w:pStyle w:val="ListBullet"/>
      </w:pPr>
      <w:r>
        <w:rPr>
          <w:b/>
        </w:rPr>
        <w:t>Stokes shift.</w:t>
      </w:r>
      <w:r>
        <w:t xml:space="preserve"> Emission is red-shifted from absorption because energy is lost to vibrational</w:t>
      </w:r>
    </w:p>
    <w:p>
      <w:r>
        <w:t>relaxation before emission.</w:t>
      </w:r>
    </w:p>
    <w:p>
      <w:pPr>
        <w:pStyle w:val="Heading2"/>
      </w:pPr>
      <w:r>
        <w:t>2.2 The parametric fluorophore model</w:t>
      </w:r>
    </w:p>
    <w:p>
      <w:r>
        <w:t>Each fluorophore is a frozen dataclass with Gaussian excitation/emission bands (dilute-regime model):</w:t>
      </w:r>
    </w:p>
    <w:p>
      <w:r>
        <w:t>its dilute contribution is `extinction · quantum_yield · excitation(λ_ex) · emission(λ_em) ·</w:t>
      </w:r>
    </w:p>
    <w:p>
      <w:r>
        <w:t>concentration`. The excitation profile is a peak-normalised Gaussian; the emission profile is an</w:t>
      </w:r>
    </w:p>
    <w:p>
      <w:r>
        <w:t xml:space="preserve">area-normalised (split-)Gaussian with optional </w:t>
      </w:r>
      <w:r>
        <w:rPr>
          <w:rFonts w:ascii="Consolas" w:hAnsi="Consolas"/>
          <w:color w:val="B03060"/>
          <w:sz w:val="19"/>
        </w:rPr>
        <w:t>em_skew</w:t>
      </w:r>
      <w:r>
        <w:t xml:space="preserve"> (red tail) and a </w:t>
      </w:r>
      <w:r>
        <w:rPr>
          <w:rFonts w:ascii="Consolas" w:hAnsi="Consolas"/>
          <w:color w:val="B03060"/>
          <w:sz w:val="19"/>
        </w:rPr>
        <w:t>vibronic</w:t>
      </w:r>
      <w:r>
        <w:t xml:space="preserve"> Franck–Condon</w:t>
      </w:r>
    </w:p>
    <w:p>
      <w:r>
        <w:t>shoulder ~1300 cm⁻¹ to the red. Figure 1 shows the discriminative dyes (modest brightness, overlapping</w:t>
      </w:r>
    </w:p>
    <w:p>
      <w:r>
        <w:t>emission, distinct excitation) and the bright nuisance autofluorophores.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uoropho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Parametric fluorophore spectra. Left: three discriminative dyes (dashed = excitation, solid = emission) — modest brightness, overlapping emission, distinct excitation peaks. Right: two bright nuisance autofluorophores (NADH, lipofuscin) that dominate band variance but carry no class information.</w:t>
      </w:r>
    </w:p>
    <w:p>
      <w:pPr>
        <w:pStyle w:val="Heading2"/>
      </w:pPr>
      <w:r>
        <w:t>2.3 The forward model</w:t>
      </w:r>
    </w:p>
    <w:p>
      <w:r>
        <w:t>For each excitation wavelength λ_ex, the renderer computes a scaled lamp/exposure/power factor and sums</w:t>
      </w:r>
    </w:p>
    <w:p>
      <w:r>
        <w:t>each fluorophore's contribution `(concentration · extinction · quantum_yield · excitation(λ_ex)) ·</w:t>
      </w:r>
    </w:p>
    <w:p>
      <w:r>
        <w:t>emission(λ_em)` into the cube, accumulating per-pixel excitation absorbance for the inner-filter option.</w:t>
      </w:r>
    </w:p>
    <w:p>
      <w:r>
        <w:t xml:space="preserve">With artifacts and physics off, the model is </w:t>
      </w:r>
      <w:r>
        <w:rPr>
          <w:b/>
        </w:rPr>
        <w:t>exactly linear</w:t>
      </w:r>
      <w:r>
        <w:t xml:space="preserve">: </w:t>
      </w:r>
      <w:r>
        <w:rPr>
          <w:rFonts w:ascii="Consolas" w:hAnsi="Consolas"/>
          <w:color w:val="B03060"/>
          <w:sz w:val="19"/>
        </w:rPr>
        <w:t>render(A+B) = render(A) + render(B)</w:t>
      </w:r>
      <w:r>
        <w:t>.</w:t>
      </w:r>
    </w:p>
    <w:p>
      <w:pPr>
        <w:pStyle w:val="Heading2"/>
      </w:pPr>
      <w:r>
        <w:t>2.4 Scene generation: variance ≠ informativeness</w:t>
      </w:r>
    </w:p>
    <w:p>
      <w:r>
        <w:t xml:space="preserve">The single most important design choice. A confounded scene paints (i) </w:t>
      </w:r>
      <w:r>
        <w:rPr>
          <w:b/>
        </w:rPr>
        <w:t>discriminative</w:t>
      </w:r>
      <w:r>
        <w:t xml:space="preserve"> dyes with</w:t>
      </w:r>
    </w:p>
    <w:p>
      <w:r>
        <w:t xml:space="preserve">smooth random concentration fields whose per-pixel argmax defines the </w:t>
      </w:r>
      <w:r>
        <w:rPr>
          <w:b/>
        </w:rPr>
        <w:t>class label</w:t>
      </w:r>
      <w:r>
        <w:t xml:space="preserve"> — these are dim</w:t>
      </w:r>
    </w:p>
    <w:p>
      <w:r>
        <w:t xml:space="preserve">and/or spectrally overlapping (low-variance, discrimination in shape); and (ii) </w:t>
      </w:r>
      <w:r>
        <w:rPr>
          <w:b/>
        </w:rPr>
        <w:t>nuisance</w:t>
      </w:r>
      <w:r>
        <w:t xml:space="preserve"> dyes with</w:t>
      </w:r>
    </w:p>
    <w:p>
      <w:r>
        <w:t xml:space="preserve">their own independent fields — bright, high spatial variance, but </w:t>
      </w:r>
      <w:r>
        <w:rPr>
          <w:b/>
        </w:rPr>
        <w:t>class-irrelevant</w:t>
      </w:r>
      <w:r>
        <w:t>. A turbidity field</w:t>
      </w:r>
    </w:p>
    <w:p>
      <w:r>
        <w:t xml:space="preserve">drives spatially-varying scatter. Consequently the highest-variance bands carry </w:t>
      </w:r>
      <w:r>
        <w:rPr>
          <w:b/>
        </w:rPr>
        <w:t>no</w:t>
      </w:r>
      <w:r>
        <w:t xml:space="preserve"> class information.</w:t>
      </w:r>
    </w:p>
    <w:p>
      <w:r>
        <w:t>Figure 2 shows class labels, example bands (a discriminative dye band, a Rayleigh-scatter band, a</w:t>
      </w:r>
    </w:p>
    <w:p>
      <w:r>
        <w:t xml:space="preserve">nuisance band), the mean emission per excitation, and the </w:t>
      </w:r>
      <w:r>
        <w:rPr>
          <w:b/>
        </w:rPr>
        <w:t>variance-vs-informativeness</w:t>
      </w:r>
      <w:r>
        <w:t xml:space="preserve"> scatter whose</w:t>
      </w:r>
    </w:p>
    <w:p>
      <w:r>
        <w:t>near-zero/negative correlation is the property that makes the benchmark honest.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645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ce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4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The forward model and the variance≠informativeness property. Top: class labels and example rendered bands (discriminative, Rayleigh scatter, nuisance). Bottom: mean emission per excitation; the per-band variance vs per-band discriminability scatter (corr printed) showing the highest-variance bands are NOT the informative ones; an example rendered band.</w:t>
      </w:r>
    </w:p>
    <w:p>
      <w:pPr>
        <w:pStyle w:val="Heading2"/>
      </w:pPr>
      <w:r>
        <w:t>2.5 Artifacts: scatter and noise</w:t>
      </w:r>
    </w:p>
    <w:p>
      <w:r>
        <w:t xml:space="preserve">On top of the clean cube the generator adds </w:t>
      </w:r>
      <w:r>
        <w:rPr>
          <w:b/>
        </w:rPr>
        <w:t>Rayleigh scattering</w:t>
      </w:r>
      <w:r>
        <w:t xml:space="preserve"> (elastic, at λ_em = λ_ex and its</w:t>
      </w:r>
    </w:p>
    <w:p>
      <w:r>
        <w:t xml:space="preserve">second order at 2λ_ex), </w:t>
      </w:r>
      <w:r>
        <w:rPr>
          <w:b/>
        </w:rPr>
        <w:t>Raman scattering</w:t>
      </w:r>
      <w:r>
        <w:t xml:space="preserve"> (inelastic, fixed energy offset), each scaled by the</w:t>
      </w:r>
    </w:p>
    <w:p>
      <w:r>
        <w:t xml:space="preserve">per-pixel turbidity field; then </w:t>
      </w:r>
      <w:r>
        <w:rPr>
          <w:b/>
        </w:rPr>
        <w:t>photon (shot) noise</w:t>
      </w:r>
      <w:r>
        <w:t xml:space="preserve"> (Poisson via </w:t>
      </w:r>
      <w:r>
        <w:rPr>
          <w:rFonts w:ascii="Consolas" w:hAnsi="Consolas"/>
          <w:color w:val="B03060"/>
          <w:sz w:val="19"/>
        </w:rPr>
        <w:t>photon_scale</w:t>
      </w:r>
      <w:r>
        <w:t>) and Gaussian</w:t>
      </w:r>
    </w:p>
    <w:p>
      <w:r>
        <w:rPr>
          <w:b/>
        </w:rPr>
        <w:t>read noise</w:t>
      </w:r>
      <w:r>
        <w:t xml:space="preserve"> (</w:t>
      </w:r>
      <w:r>
        <w:rPr>
          <w:rFonts w:ascii="Consolas" w:hAnsi="Consolas"/>
          <w:color w:val="B03060"/>
          <w:sz w:val="19"/>
        </w:rPr>
        <w:t>read_sigma</w:t>
      </w:r>
      <w:r>
        <w:t>). Scatter ridges are high-variance and carry zero chemical information — a</w:t>
      </w:r>
    </w:p>
    <w:p>
      <w:r>
        <w:t>deliberate trap for variance-based selectors.</w:t>
      </w:r>
    </w:p>
    <w:p>
      <w:pPr>
        <w:pStyle w:val="Heading2"/>
      </w:pPr>
      <w:r>
        <w:t>2.6 Optional nonlinear physics and instrument clutter</w:t>
      </w:r>
    </w:p>
    <w:p>
      <w:r>
        <w:t>Four options make the data progressively more realistic and nonlinear:</w:t>
      </w:r>
    </w:p>
    <w:p>
      <w:pPr>
        <w:pStyle w:val="ListBullet"/>
      </w:pPr>
      <w:r>
        <w:rPr>
          <w:b/>
        </w:rPr>
        <w:t>Primary inner-filter (Beer–Lambert).</w:t>
      </w:r>
      <w:r>
        <w:t xml:space="preserve"> Local signal attenuated by </w:t>
      </w:r>
      <w:r>
        <w:rPr>
          <w:rFonts w:ascii="Consolas" w:hAnsi="Consolas"/>
          <w:color w:val="B03060"/>
          <w:sz w:val="19"/>
        </w:rPr>
        <w:t>exp(-s · A_ex)</w:t>
      </w:r>
      <w:r>
        <w:t>, a per-pixel</w:t>
      </w:r>
    </w:p>
    <w:p>
      <w:r>
        <w:t>scalar — the first deliberate nonlinearity in concentration.</w:t>
      </w:r>
    </w:p>
    <w:p>
      <w:pPr>
        <w:pStyle w:val="ListBullet"/>
      </w:pPr>
      <w:r>
        <w:rPr>
          <w:b/>
        </w:rPr>
        <w:t>Reabsorption / secondary inner-filter.</w:t>
      </w:r>
      <w:r>
        <w:t xml:space="preserve"> Emitted light reabsorbed by </w:t>
      </w:r>
      <w:r>
        <w:rPr>
          <w:rFonts w:ascii="Consolas" w:hAnsi="Consolas"/>
          <w:color w:val="B03060"/>
          <w:sz w:val="19"/>
        </w:rPr>
        <w:t>exp(-s · A_em(λ))</w:t>
      </w:r>
      <w:r>
        <w:t>, where the</w:t>
      </w:r>
    </w:p>
    <w:p>
      <w:r>
        <w:t>absorbance is per-emission-wavelength; because absorption overlaps the blue edge of emission, this</w:t>
      </w:r>
    </w:p>
    <w:p>
      <w:r>
        <w:rPr>
          <w:b/>
        </w:rPr>
        <w:t>reshapes the band</w:t>
      </w:r>
      <w:r>
        <w:t xml:space="preserve"> (suppresses the blue edge, apparent red-shift) as a function of concentration —</w:t>
      </w:r>
    </w:p>
    <w:p>
      <w:r>
        <w:t>a nonlinearity that relocates information into band shape (Figure 3).</w:t>
      </w:r>
    </w:p>
    <w:p>
      <w:pPr>
        <w:pStyle w:val="ListBullet"/>
      </w:pPr>
      <w:r>
        <w:rPr>
          <w:b/>
        </w:rPr>
        <w:t>FRET.</w:t>
      </w:r>
      <w:r>
        <w:t xml:space="preserve"> For donor→acceptor pairs, a saturating fraction </w:t>
      </w:r>
      <w:r>
        <w:rPr>
          <w:rFonts w:ascii="Consolas" w:hAnsi="Consolas"/>
          <w:color w:val="B03060"/>
          <w:sz w:val="19"/>
        </w:rPr>
        <w:t>E = k·c_A/(1+k·c_A)</w:t>
      </w:r>
      <w:r>
        <w:t xml:space="preserve"> of donor energy is</w:t>
      </w:r>
    </w:p>
    <w:p>
      <w:r>
        <w:t xml:space="preserve">transferred: the donor is quenched and the acceptor sensitised by </w:t>
      </w:r>
      <w:r>
        <w:rPr>
          <w:rFonts w:ascii="Consolas" w:hAnsi="Consolas"/>
          <w:color w:val="B03060"/>
          <w:sz w:val="19"/>
        </w:rPr>
        <w:t>E·absorbed_donor·Φ_A</w:t>
      </w:r>
      <w:r>
        <w:t xml:space="preserve"> — a</w:t>
      </w:r>
    </w:p>
    <w:p>
      <w:r>
        <w:t xml:space="preserve">product/saturating coupling that encodes dye </w:t>
      </w:r>
      <w:r>
        <w:rPr>
          <w:b/>
        </w:rPr>
        <w:t>co-localisation</w:t>
      </w:r>
      <w:r>
        <w:t xml:space="preserve"> in the band ratio.</w:t>
      </w:r>
    </w:p>
    <w:p>
      <w:pPr>
        <w:pStyle w:val="ListBullet"/>
      </w:pPr>
      <w:r>
        <w:rPr>
          <w:b/>
        </w:rPr>
        <w:t>Fixed-pattern clutter.</w:t>
      </w:r>
      <w:r>
        <w:t xml:space="preserve"> Many independent class-irrelevant spatial fields, each imprinted on a</w:t>
      </w:r>
    </w:p>
    <w:p>
      <w:r>
        <w:t>random band subset with a random per-band gain — modelling real illumination/detector artefacts.</w:t>
      </w:r>
    </w:p>
    <w:p>
      <w:r>
        <w:t>Clutter is high-variance but class-irrelevant; it is the dominant real-instrument confound (Figure 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804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absorp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0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Reabsorption reshapes the emission band. A bright pixel's emission spectrum at ex470 with and without reabsorption (strength 4): the blue edge is suppressed, producing an apparent red-shift — a concentration-dependent, nonlinear reshaping that relocates discriminative information into band shape.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33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lut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Fixed-pattern clutter. Left/middle: the same band before and after injecting 36 class-irrelevant low-rank spatial clutter modes (amplitude 3.3). Right: sorted per-band variance — clutter raises the variance of many bands without adding any class information, which is exactly why variance/reconstruction-based selection collapses to chance.</w:t>
      </w:r>
    </w:p>
    <w:p>
      <w:pPr>
        <w:pStyle w:val="Heading2"/>
      </w:pPr>
      <w:r>
        <w:t>2.7 The regimes</w:t>
      </w:r>
    </w:p>
    <w:p>
      <w:r>
        <w:t>By dialing nuisance amplitude, scatter, photon/read noise, clutter, reabsorption and FRET, the generator</w:t>
      </w:r>
    </w:p>
    <w:p>
      <w:r>
        <w:t xml:space="preserve">spans: </w:t>
      </w:r>
      <w:r>
        <w:rPr>
          <w:b/>
        </w:rPr>
        <w:t>clean</w:t>
      </w:r>
      <w:r>
        <w:t xml:space="preserve"> (variance ≈ informativeness), </w:t>
      </w:r>
      <w:r>
        <w:rPr>
          <w:b/>
        </w:rPr>
        <w:t>realistic</w:t>
      </w:r>
      <w:r>
        <w:t xml:space="preserve"> (strong nuisances + scatter + noise),</w:t>
      </w:r>
    </w:p>
    <w:p>
      <w:r>
        <w:rPr>
          <w:b/>
        </w:rPr>
        <w:t>clutter</w:t>
      </w:r>
      <w:r>
        <w:t xml:space="preserve"> (fixed-pattern instrument clutter), </w:t>
      </w:r>
      <w:r>
        <w:rPr>
          <w:b/>
        </w:rPr>
        <w:t>reabsorption / FRET</w:t>
      </w:r>
      <w:r>
        <w:t xml:space="preserve"> (nonlinear), and </w:t>
      </w:r>
      <w:r>
        <w:rPr>
          <w:b/>
        </w:rPr>
        <w:t>spatial</w:t>
      </w:r>
    </w:p>
    <w:p>
      <w:r>
        <w:t>(class carried by spatial texture). Exact parameters per figure/experiment are in the Appendix and in</w:t>
      </w:r>
    </w:p>
    <w:p>
      <w:r>
        <w:rPr>
          <w:rFonts w:ascii="Consolas" w:hAnsi="Consolas"/>
          <w:color w:val="B03060"/>
          <w:sz w:val="19"/>
        </w:rPr>
        <w:t>paper/figures/params.json</w:t>
      </w:r>
      <w:r>
        <w:t>.</w:t>
      </w:r>
    </w:p>
    <w:p>
      <w:pPr>
        <w:pStyle w:val="Heading1"/>
      </w:pPr>
      <w:r>
        <w:t>3. Methods</w:t>
      </w:r>
    </w:p>
    <w:p>
      <w:pPr>
        <w:pStyle w:val="Heading2"/>
      </w:pPr>
      <w:r>
        <w:t>3.1 The AE + perturbation selector (and its convolutional variant)</w:t>
      </w:r>
    </w:p>
    <w:p>
      <w:r>
        <w:t>A per-pixel (or spatial-convolutional) autoencoder is trained to reconstruct the standardised cube. Each</w:t>
      </w:r>
    </w:p>
    <w:p>
      <w:r>
        <w:t>latent dimension is perturbed; the per-band reconstruction sensitivity is accumulated and normalised to a</w:t>
      </w:r>
    </w:p>
    <w:p>
      <w:r>
        <w:t>per-band influence; the top-k bands (with a diversity constraint) are selected. The published CAE used</w:t>
      </w:r>
    </w:p>
    <w:p>
      <w:r>
        <w:t>per-excitation 3-D convolution branches with an emission-axis average-pool ("band-collapse").</w:t>
      </w:r>
    </w:p>
    <w:p>
      <w:pPr>
        <w:pStyle w:val="Heading2"/>
      </w:pPr>
      <w:r>
        <w:t>3.2 Baselines and references</w:t>
      </w:r>
    </w:p>
    <w:p>
      <w:r>
        <w:rPr>
          <w:rFonts w:ascii="Consolas" w:hAnsi="Consolas"/>
          <w:color w:val="B03060"/>
          <w:sz w:val="19"/>
        </w:rPr>
        <w:t>random</w:t>
      </w:r>
      <w:r>
        <w:t xml:space="preserve"> (the essential control), </w:t>
      </w:r>
      <w:r>
        <w:rPr>
          <w:rFonts w:ascii="Consolas" w:hAnsi="Consolas"/>
          <w:color w:val="B03060"/>
          <w:sz w:val="19"/>
        </w:rPr>
        <w:t>variance</w:t>
      </w:r>
      <w:r>
        <w:t xml:space="preserve">, </w:t>
      </w:r>
      <w:r>
        <w:rPr>
          <w:rFonts w:ascii="Consolas" w:hAnsi="Consolas"/>
          <w:color w:val="B03060"/>
          <w:sz w:val="19"/>
        </w:rPr>
        <w:t>pca_load</w:t>
      </w:r>
      <w:r>
        <w:t xml:space="preserve"> (sum of absolute PCA loadings — the strongest</w:t>
      </w:r>
    </w:p>
    <w:p>
      <w:r>
        <w:t xml:space="preserve">classical *blind* method), </w:t>
      </w:r>
      <w:r>
        <w:rPr>
          <w:rFonts w:ascii="Consolas" w:hAnsi="Consolas"/>
          <w:color w:val="B03060"/>
          <w:sz w:val="19"/>
        </w:rPr>
        <w:t>laplacian</w:t>
      </w:r>
      <w:r>
        <w:t xml:space="preserve"> score; supervised references </w:t>
      </w:r>
      <w:r>
        <w:rPr>
          <w:rFonts w:ascii="Consolas" w:hAnsi="Consolas"/>
          <w:color w:val="B03060"/>
          <w:sz w:val="19"/>
        </w:rPr>
        <w:t>mutual_info</w:t>
      </w:r>
      <w:r>
        <w:t xml:space="preserve"> (per-band) and</w:t>
      </w:r>
    </w:p>
    <w:p>
      <w:r>
        <w:rPr>
          <w:rFonts w:ascii="Consolas" w:hAnsi="Consolas"/>
          <w:color w:val="B03060"/>
          <w:sz w:val="19"/>
        </w:rPr>
        <w:t>RF-importance</w:t>
      </w:r>
      <w:r>
        <w:t xml:space="preserve"> / </w:t>
      </w:r>
      <w:r>
        <w:rPr>
          <w:rFonts w:ascii="Consolas" w:hAnsi="Consolas"/>
          <w:color w:val="B03060"/>
          <w:sz w:val="19"/>
        </w:rPr>
        <w:t>mRMR</w:t>
      </w:r>
      <w:r>
        <w:t xml:space="preserve">; the labels-using </w:t>
      </w:r>
      <w:r>
        <w:rPr>
          <w:rFonts w:ascii="Consolas" w:hAnsi="Consolas"/>
          <w:color w:val="B03060"/>
          <w:sz w:val="19"/>
        </w:rPr>
        <w:t>oracle</w:t>
      </w:r>
      <w:r>
        <w:t xml:space="preserve">; and </w:t>
      </w:r>
      <w:r>
        <w:rPr>
          <w:rFonts w:ascii="Consolas" w:hAnsi="Consolas"/>
          <w:color w:val="B03060"/>
          <w:sz w:val="19"/>
        </w:rPr>
        <w:t>full</w:t>
      </w:r>
      <w:r>
        <w:t xml:space="preserve"> (all bands — the ceiling).</w:t>
      </w:r>
    </w:p>
    <w:p>
      <w:pPr>
        <w:pStyle w:val="Heading2"/>
      </w:pPr>
      <w:r>
        <w:t>3.3 Evaluation protocol</w:t>
      </w:r>
    </w:p>
    <w:p>
      <w:r>
        <w:t>Selection quality is downstream classification (a panel: KNN, RandomForest, MLP, logistic regression),</w:t>
      </w:r>
    </w:p>
    <w:p>
      <w:r>
        <w:t>cross-validated or few-shot, reporting macro-F1 (and balanced accuracy, MCC, Cohen's κ). The decisive</w:t>
      </w:r>
    </w:p>
    <w:p>
      <w:r>
        <w:t xml:space="preserve">honesty controls are </w:t>
      </w:r>
      <w:r>
        <w:rPr>
          <w:b/>
        </w:rPr>
        <w:t>(a) the random baseline</w:t>
      </w:r>
      <w:r>
        <w:t xml:space="preserve"> — a method that cannot beat random adds nothing — and</w:t>
      </w:r>
    </w:p>
    <w:p>
      <w:r>
        <w:rPr>
          <w:b/>
        </w:rPr>
        <w:t>(b) full-data</w:t>
      </w:r>
      <w:r>
        <w:t xml:space="preserve"> — the ceiling a selector is trying to approach. For spatial discrimination we use</w:t>
      </w:r>
    </w:p>
    <w:p>
      <w:r>
        <w:rPr>
          <w:b/>
        </w:rPr>
        <w:t>spatial-block cross-validation</w:t>
      </w:r>
      <w:r>
        <w:t xml:space="preserve"> to remove spatial-autocorrelation leakage.</w:t>
      </w:r>
    </w:p>
    <w:p>
      <w:pPr>
        <w:pStyle w:val="Heading1"/>
      </w:pPr>
      <w:r>
        <w:t>4. Experiments and results</w:t>
      </w:r>
    </w:p>
    <w:p>
      <w:pPr>
        <w:pStyle w:val="Heading2"/>
      </w:pPr>
      <w:r>
        <w:t>4.1 The published CAE: four bugs and an architectural flaw</w:t>
      </w:r>
    </w:p>
    <w:p>
      <w:r>
        <w:t>Run on modern tooling and evaluated honestly, the published CAE selected at chance (macro-F1 ≈ 0.33). We</w:t>
      </w:r>
    </w:p>
    <w:p>
      <w:r>
        <w:t xml:space="preserve">found and fixed </w:t>
      </w:r>
      <w:r>
        <w:rPr>
          <w:b/>
        </w:rPr>
        <w:t>four real bugs</w:t>
      </w:r>
      <w:r>
        <w:t xml:space="preserve"> in the trainer (a torch-compat crash, an </w:t>
      </w:r>
      <w:r>
        <w:rPr>
          <w:rFonts w:ascii="Consolas" w:hAnsi="Consolas"/>
          <w:color w:val="B03060"/>
          <w:sz w:val="19"/>
        </w:rPr>
        <w:t>UnboundLocalError</w:t>
      </w:r>
      <w:r>
        <w:t xml:space="preserve"> on NaN</w:t>
      </w:r>
    </w:p>
    <w:p>
      <w:r>
        <w:t xml:space="preserve">loss, a </w:t>
      </w:r>
      <w:r>
        <w:rPr>
          <w:rFonts w:ascii="Consolas" w:hAnsi="Consolas"/>
          <w:color w:val="B03060"/>
          <w:sz w:val="19"/>
        </w:rPr>
        <w:t>0×NaN</w:t>
      </w:r>
      <w:r>
        <w:t xml:space="preserve"> sparsity term that silently poisoned every non-sigmoid run, and an LR-collapse default),</w:t>
      </w:r>
    </w:p>
    <w:p>
      <w:r>
        <w:t>corrected a misleading per-band-R² metric (off-peak noise bands dominate it; the honest metric is</w:t>
      </w:r>
    </w:p>
    <w:p>
      <w:r>
        <w:t xml:space="preserve">signal-band correlation), and localised the residual failure to the </w:t>
      </w:r>
      <w:r>
        <w:rPr>
          <w:b/>
        </w:rPr>
        <w:t>emission-axis band-collapse</w:t>
      </w:r>
      <w:r>
        <w:t>,</w:t>
      </w:r>
    </w:p>
    <w:p>
      <w:r>
        <w:t>which averages away exactly the multi-fluorophore structure. Removing the collapse took selection from</w:t>
      </w:r>
    </w:p>
    <w:p>
      <w:r>
        <w:t>chance to ≈ 0.41 (≈ 85% of the labels-using oracle).</w:t>
      </w:r>
    </w:p>
    <w:p>
      <w:pPr>
        <w:pStyle w:val="Heading2"/>
      </w:pPr>
      <w:r>
        <w:t>4.2 Rounds 1–2: the decision map</w:t>
      </w:r>
    </w:p>
    <w:p>
      <w:r>
        <w:t>A comprehensive, significance-tested battery (5 metric families × 8 selectors × multiple regimes ×</w:t>
      </w:r>
    </w:p>
    <w:p>
      <w:r>
        <w:t>seeds, with the random baseline) established the core results, summarised in Figure 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956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sul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5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 Headline results. Left: beat-random across five noise levels (k=24) — blind PCA/AE beat the random 95th-percentile ONLY at clean; under any clutter they collapse to random, and only supervised mutual-information beats random. Middle: compression curve — AE ≈ PCA at every budget (both reach ~95% of full at k≈64), supervised mutInfo compresses ~2.7× better, and random is competitive. Right: the spatial-texture regime under honest block-CV — per-pixel selectors (variance, mutInfo) are the WORST (blind by construction), while spatial methods and the oracle succeed; only a spatial model can find the discriminative bands.</w:t>
      </w:r>
    </w:p>
    <w:p>
      <w:r>
        <w:t xml:space="preserve">Findings (all CI/seed-checked): </w:t>
      </w:r>
      <w:r>
        <w:rPr>
          <w:b/>
        </w:rPr>
        <w:t>blind selection never beats full-data</w:t>
      </w:r>
      <w:r>
        <w:t xml:space="preserve"> (it only ties at very few</w:t>
      </w:r>
    </w:p>
    <w:p>
      <w:r>
        <w:t xml:space="preserve">labels); </w:t>
      </w:r>
      <w:r>
        <w:rPr>
          <w:b/>
        </w:rPr>
        <w:t>supervised selection beats full only at clutter + ≲10 labels/class</w:t>
      </w:r>
      <w:r>
        <w:t xml:space="preserve">; </w:t>
      </w:r>
      <w:r>
        <w:rPr>
          <w:b/>
        </w:rPr>
        <w:t>AE ≈ PCA everywhere</w:t>
      </w:r>
    </w:p>
    <w:p>
      <w:r>
        <w:t>(PCA better on clean, ties under clutter); and the AE's only significant edge — on nonlinear reabsorption</w:t>
      </w:r>
    </w:p>
    <w:p>
      <w:r>
        <w:t xml:space="preserve">under one metric — </w:t>
      </w:r>
      <w:r>
        <w:rPr>
          <w:b/>
        </w:rPr>
        <w:t>did not reproduce at three seeds</w:t>
      </w:r>
      <w:r>
        <w:t>. The biggest single result: **under realistic</w:t>
      </w:r>
    </w:p>
    <w:p>
      <w:r>
        <w:t>clutter, blind selection (AE and PCA) does not beat random band selection** — only label-aware selection</w:t>
      </w:r>
    </w:p>
    <w:p>
      <w:r>
        <w:t>does. The mechanism is that clutter is high-variance but class-irrelevant, so every</w:t>
      </w:r>
    </w:p>
    <w:p>
      <w:r>
        <w:t>variance/reconstruction criterion ranks clutter bands ≈ randomly with respect to class.</w:t>
      </w:r>
    </w:p>
    <w:p>
      <w:pPr>
        <w:pStyle w:val="Heading2"/>
      </w:pPr>
      <w:r>
        <w:t>4.3 Round 3: a mechanism-driven mitigation campaign</w:t>
      </w:r>
    </w:p>
    <w:p>
      <w:r>
        <w:t>We attacked each failure at its cause, with full model+data freedom: a **contrastive clutter-invariant</w:t>
      </w:r>
    </w:p>
    <w:p>
      <w:r>
        <w:t>encoder</w:t>
      </w:r>
      <w:r>
        <w:rPr>
          <w:b/>
        </w:rPr>
        <w:t xml:space="preserve"> (failed — instance discrimination rewards intrinsic clutter); a </w:t>
      </w:r>
      <w:r>
        <w:t>supervised AE + perturbation**</w:t>
      </w:r>
    </w:p>
    <w:p>
      <w:r>
        <w:t>(captures the FRET/XOR interaction marginal MI misses, but margins are within noise and it never beats</w:t>
      </w:r>
    </w:p>
    <w:p>
      <w:r>
        <w:t xml:space="preserve">full); </w:t>
      </w:r>
      <w:r>
        <w:rPr>
          <w:b/>
        </w:rPr>
        <w:t>AE-as-denoiser</w:t>
      </w:r>
      <w:r>
        <w:t xml:space="preserve"> (helps +0.13 on clean — but it is *linear* low-rank denoising, matched or</w:t>
      </w:r>
    </w:p>
    <w:p>
      <w:r>
        <w:t xml:space="preserve">beaten by PCA-reconstruction); and a </w:t>
      </w:r>
      <w:r>
        <w:rPr>
          <w:b/>
        </w:rPr>
        <w:t>sparse-signal</w:t>
      </w:r>
      <w:r>
        <w:t xml:space="preserve"> regime (which only re-confirmed the wall: a</w:t>
      </w:r>
    </w:p>
    <w:p>
      <w:r>
        <w:t>discriminative band is either bright → variance finds it, or dim → unextractable).</w:t>
      </w:r>
    </w:p>
    <w:p>
      <w:pPr>
        <w:pStyle w:val="Heading2"/>
      </w:pPr>
      <w:r>
        <w:t>4.4 The one structural win: spatial discrimination</w:t>
      </w:r>
    </w:p>
    <w:p>
      <w:r>
        <w:t xml:space="preserve">When class is carried by </w:t>
      </w:r>
      <w:r>
        <w:rPr>
          <w:b/>
        </w:rPr>
        <w:t>spatial texture</w:t>
      </w:r>
      <w:r>
        <w:t xml:space="preserve"> (identical per-pixel marginals across classes), per-pixel</w:t>
      </w:r>
    </w:p>
    <w:p>
      <w:r>
        <w:t xml:space="preserve">band selection is </w:t>
      </w:r>
      <w:r>
        <w:rPr>
          <w:b/>
        </w:rPr>
        <w:t>provably blind</w:t>
      </w:r>
      <w:r>
        <w:t xml:space="preserve"> (Figure 5, right): under honest spatial-block CV the per-pixel</w:t>
      </w:r>
    </w:p>
    <w:p>
      <w:r>
        <w:t>selectors are the *worst* (below random), while a spatial model + the right bands reach the oracle. This</w:t>
      </w:r>
    </w:p>
    <w:p>
      <w:r>
        <w:t xml:space="preserve">is the one regime where the </w:t>
      </w:r>
      <w:r>
        <w:rPr>
          <w:b/>
        </w:rPr>
        <w:t>convolutional/spatial</w:t>
      </w:r>
      <w:r>
        <w:t xml:space="preserve"> approach is structurally necessary — vindicating</w:t>
      </w:r>
    </w:p>
    <w:p>
      <w:r>
        <w:t xml:space="preserve">the original spatial-CAE intuition, </w:t>
      </w:r>
      <w:r>
        <w:rPr>
          <w:b/>
        </w:rPr>
        <w:t>for spatial classification, not per-pixel spectral band selection.</w:t>
      </w:r>
    </w:p>
    <w:p>
      <w:r>
        <w:t>A supervised spatial CNN selector beats the blind per-pixel method but still does not reliably *identify*</w:t>
      </w:r>
    </w:p>
    <w:p>
      <w:r>
        <w:t>the discriminative bands — selection itself is intrinsically hard.</w:t>
      </w:r>
    </w:p>
    <w:p>
      <w:pPr>
        <w:pStyle w:val="Heading1"/>
      </w:pPr>
      <w:r>
        <w:t>5. Discussion</w:t>
      </w:r>
    </w:p>
    <w:p>
      <w:r>
        <w:t xml:space="preserve">Three mechanisms explain every negative result. </w:t>
      </w:r>
      <w:r>
        <w:rPr>
          <w:b/>
        </w:rPr>
        <w:t>(1) Selection ≠ classification:</w:t>
      </w:r>
      <w:r>
        <w:t xml:space="preserve"> the AE's nonlinearity</w:t>
      </w:r>
    </w:p>
    <w:p>
      <w:r>
        <w:t>helps a *classifier*, not the *choice* of bands; a nonlinear downstream model recovers structure (e.g.</w:t>
      </w:r>
    </w:p>
    <w:p>
      <w:r>
        <w:t xml:space="preserve">XOR) from variance-prominent bands that simple methods already select. </w:t>
      </w:r>
      <w:r>
        <w:rPr>
          <w:b/>
        </w:rPr>
        <w:t>(2) Unsupervised ≡ variance:</w:t>
      </w:r>
    </w:p>
    <w:p>
      <w:r>
        <w:t>reconstruction/variance/PCA-loadings all rank by variance, which under clutter or nuisances is decoupled</w:t>
      </w:r>
    </w:p>
    <w:p>
      <w:r>
        <w:t xml:space="preserve">from class — so they perform like random. </w:t>
      </w:r>
      <w:r>
        <w:rPr>
          <w:b/>
        </w:rPr>
        <w:t>(3) Extractable ⇔ variance-prominent:</w:t>
      </w:r>
      <w:r>
        <w:t xml:space="preserve"> a band strong enough</w:t>
      </w:r>
    </w:p>
    <w:p>
      <w:r>
        <w:t>to be useful is high-variance (simple methods find it); a band that is not variance-prominent is too weak</w:t>
      </w:r>
    </w:p>
    <w:p>
      <w:r>
        <w:t>to extract — leaving no gap for a learned selector to fill. The lone exception is genuinely *spatial*</w:t>
      </w:r>
    </w:p>
    <w:p>
      <w:r>
        <w:t>information, invisible to per-pixel methods, where convolution is required.</w:t>
      </w:r>
    </w:p>
    <w:p>
      <w:pPr>
        <w:pStyle w:val="Heading1"/>
      </w:pPr>
      <w:r>
        <w:t>6. Conclusion</w:t>
      </w:r>
    </w:p>
    <w:p>
      <w:r>
        <w:t>SpectraForge is an honest, physics-grounded benchmark. On it, the autoencoder + latent-perturbation idea</w:t>
      </w:r>
    </w:p>
    <w:p>
      <w:r>
        <w:t xml:space="preserve">— after thorough debugging — is a sound but </w:t>
      </w:r>
      <w:r>
        <w:rPr>
          <w:b/>
        </w:rPr>
        <w:t>not distinctive</w:t>
      </w:r>
      <w:r>
        <w:t xml:space="preserve"> band selector: it matches PCA, fails to</w:t>
      </w:r>
    </w:p>
    <w:p>
      <w:r>
        <w:t>beat a random control under realistic clutter, and never beats the full spectrum; selection's real value</w:t>
      </w:r>
    </w:p>
    <w:p>
      <w:r>
        <w:t>is compression and, where it matters, it needs labels. The convolutional model's genuine, provable value</w:t>
      </w:r>
    </w:p>
    <w:p>
      <w:r>
        <w:t xml:space="preserve">is as a </w:t>
      </w:r>
      <w:r>
        <w:rPr>
          <w:b/>
        </w:rPr>
        <w:t>spatial classifier</w:t>
      </w:r>
      <w:r>
        <w:t xml:space="preserve"> where per-pixel methods fail. We release the generator, the full</w:t>
      </w:r>
    </w:p>
    <w:p>
      <w:r>
        <w:t>experiment suite, and this appraisal so the result is reproducible and the scope is unambiguous.</w:t>
      </w:r>
    </w:p>
    <w:p>
      <w:pPr>
        <w:pStyle w:val="Heading1"/>
      </w:pPr>
      <w:r>
        <w:t>7. References</w:t>
      </w:r>
    </w:p>
    <w:p>
      <w:pPr>
        <w:pStyle w:val="ListNumber"/>
      </w:pPr>
      <w:r>
        <w:t>J. R. Lakowicz, *Principles of Fluorescence Spectroscopy*, 3rd ed., Springer, 2006.</w:t>
      </w:r>
    </w:p>
    <w:p>
      <w:pPr>
        <w:pStyle w:val="ListNumber"/>
      </w:pPr>
      <w:r>
        <w:t>M. Kasha, "Characterization of electronic transitions in complex molecules," *Discuss. Faraday Soc.*</w:t>
      </w:r>
    </w:p>
    <w:p>
      <w:r>
        <w:rPr>
          <w:b/>
        </w:rPr>
        <w:t>9</w:t>
      </w:r>
      <w:r>
        <w:t>, 14–19 (1950).</w:t>
      </w:r>
    </w:p>
    <w:p>
      <w:pPr>
        <w:pStyle w:val="ListNumber"/>
      </w:pPr>
      <w:r>
        <w:t>B. Valeur &amp; M. N. Berberan-Santos, *Molecular Fluorescence*, 2nd ed., Wiley-VCH, 2012.</w:t>
      </w:r>
    </w:p>
    <w:p>
      <w:pPr>
        <w:pStyle w:val="ListNumber"/>
      </w:pPr>
      <w:r>
        <w:t xml:space="preserve">R. Bro, "PARAFAC: Tutorial and applications," *Chemom. Intell. Lab. Syst.* </w:t>
      </w:r>
      <w:r>
        <w:rPr>
          <w:b/>
        </w:rPr>
        <w:t>38</w:t>
      </w:r>
      <w:r>
        <w:t>, 149–171 (1997).</w:t>
      </w:r>
    </w:p>
    <w:p>
      <w:pPr>
        <w:pStyle w:val="ListNumber"/>
      </w:pPr>
      <w:r>
        <w:t xml:space="preserve">A. Jabłoński, "Efficiency of anti-Stokes fluorescence in dyes," *Nature* </w:t>
      </w:r>
      <w:r>
        <w:rPr>
          <w:b/>
        </w:rPr>
        <w:t>131</w:t>
      </w:r>
      <w:r>
        <w:t>, 839–840 (1933).</w:t>
      </w:r>
    </w:p>
    <w:p>
      <w:pPr>
        <w:pStyle w:val="ListNumber"/>
      </w:pPr>
      <w:r>
        <w:t>G. E. Hinton &amp; R. R. Salakhutdinov, "Reducing the dimensionality of data with neural networks,"</w:t>
      </w:r>
    </w:p>
    <w:p>
      <w:r>
        <w:t xml:space="preserve">*Science* </w:t>
      </w:r>
      <w:r>
        <w:rPr>
          <w:b/>
        </w:rPr>
        <w:t>313</w:t>
      </w:r>
      <w:r>
        <w:t>, 504–507 (2006).</w:t>
      </w:r>
    </w:p>
    <w:p>
      <w:pPr>
        <w:pStyle w:val="ListNumber"/>
      </w:pPr>
      <w:r>
        <w:t>I. T. Jolliffe, *Principal Component Analysis*, 2nd ed., Springer, 2002.</w:t>
      </w:r>
    </w:p>
    <w:p>
      <w:pPr>
        <w:pStyle w:val="ListNumber"/>
      </w:pPr>
      <w:r>
        <w:t>T. Chen et al., "A simple framework for contrastive learning of visual representations," *ICML* 2020.</w:t>
      </w:r>
    </w:p>
    <w:p>
      <w:pPr>
        <w:pStyle w:val="Heading1"/>
      </w:pPr>
      <w:r>
        <w:t>Appendix A. Exact configurations</w:t>
      </w:r>
    </w:p>
    <w:p>
      <w:r>
        <w:t xml:space="preserve">Every figure is generated by </w:t>
      </w:r>
      <w:r>
        <w:rPr>
          <w:rFonts w:ascii="Consolas" w:hAnsi="Consolas"/>
          <w:color w:val="B03060"/>
          <w:sz w:val="19"/>
        </w:rPr>
        <w:t>reports/paper_figures.py</w:t>
      </w:r>
      <w:r>
        <w:t>, which re-runs the simulations and writes the</w:t>
      </w:r>
    </w:p>
    <w:p>
      <w:r>
        <w:t xml:space="preserve">exact parameters to </w:t>
      </w:r>
      <w:r>
        <w:rPr>
          <w:rFonts w:ascii="Consolas" w:hAnsi="Consolas"/>
          <w:color w:val="B03060"/>
          <w:sz w:val="19"/>
        </w:rPr>
        <w:t>paper/figures/params.json</w:t>
      </w:r>
      <w:r>
        <w:t>. Key generator parameters: emission 420–700 nm</w:t>
      </w:r>
    </w:p>
    <w:p>
      <w:r>
        <w:t>(2 or 5 nm step → 141 or 57 bands), excitations {405, 470, 488, 506} nm, scene 64×64; realistic regime</w:t>
      </w:r>
    </w:p>
    <w:p>
      <w:r>
        <w:rPr>
          <w:rFonts w:ascii="Consolas" w:hAnsi="Consolas"/>
          <w:color w:val="B03060"/>
          <w:sz w:val="19"/>
        </w:rPr>
        <w:t>nuisance_amp=1.2, photon_scale=2000, read_sigma=0.005</w:t>
      </w:r>
      <w:r>
        <w:t xml:space="preserve">; clutter </w:t>
      </w:r>
      <w:r>
        <w:rPr>
          <w:rFonts w:ascii="Consolas" w:hAnsi="Consolas"/>
          <w:color w:val="B03060"/>
          <w:sz w:val="19"/>
        </w:rPr>
        <w:t>modes=36, amp=3.3</w:t>
      </w:r>
      <w:r>
        <w:t>; reabsorption</w:t>
      </w:r>
    </w:p>
    <w:p>
      <w:r>
        <w:rPr>
          <w:rFonts w:ascii="Consolas" w:hAnsi="Consolas"/>
          <w:color w:val="B03060"/>
          <w:sz w:val="19"/>
        </w:rPr>
        <w:t>strength=4</w:t>
      </w:r>
      <w:r>
        <w:t xml:space="preserve">; FRET </w:t>
      </w:r>
      <w:r>
        <w:rPr>
          <w:rFonts w:ascii="Consolas" w:hAnsi="Consolas"/>
          <w:color w:val="B03060"/>
          <w:sz w:val="19"/>
        </w:rPr>
        <w:t>k</w:t>
      </w:r>
      <w:r>
        <w:t xml:space="preserve">-dependent. The headline numbers in Figure 5 are produced by </w:t>
      </w:r>
      <w:r>
        <w:rPr>
          <w:rFonts w:ascii="Consolas" w:hAnsi="Consolas"/>
          <w:color w:val="B03060"/>
          <w:sz w:val="19"/>
        </w:rPr>
        <w:t>beat_random.py</w:t>
      </w:r>
      <w:r>
        <w:t>,</w:t>
      </w:r>
    </w:p>
    <w:p>
      <w:r>
        <w:rPr>
          <w:rFonts w:ascii="Consolas" w:hAnsi="Consolas"/>
          <w:color w:val="B03060"/>
          <w:sz w:val="19"/>
        </w:rPr>
        <w:t>compression_curve.py</w:t>
      </w:r>
      <w:r>
        <w:t xml:space="preserve">, and </w:t>
      </w:r>
      <w:r>
        <w:rPr>
          <w:rFonts w:ascii="Consolas" w:hAnsi="Consolas"/>
          <w:color w:val="B03060"/>
          <w:sz w:val="19"/>
        </w:rPr>
        <w:t>spatial_regime.py</w:t>
      </w:r>
      <w:r>
        <w:t xml:space="preserve">; the full campaign log is </w:t>
      </w:r>
      <w:r>
        <w:rPr>
          <w:rFonts w:ascii="Consolas" w:hAnsi="Consolas"/>
          <w:color w:val="B03060"/>
          <w:sz w:val="19"/>
        </w:rPr>
        <w:t>docs/spectraforge/OVERNIGHT-LOG.md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