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sound unsupervised selector that matches the best blind method across regimes and significantly exceeds it on nonlinear data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a **sound, competitive,</w:t>
      </w:r>
    </w:p>
    <w:p>
      <w:r>
        <w:t>fully-unsupervised band selector.** A later comprehensive, significance-tested metric battery (§13 /</w:t>
      </w:r>
    </w:p>
    <w:p>
      <w:r>
        <w:t>doc 18 — 4 regimes × 6 seeds × 5 metric families) sharpens this: **the AE ties the best blind baseline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) on realistic and FRET data, *significantly exceeds it on the nonlinear reabsorption</w:t>
      </w:r>
    </w:p>
    <w:p>
      <w:r>
        <w:t xml:space="preserve">regime*,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remains the</w:t>
      </w:r>
    </w:p>
    <w:p>
      <w:r>
        <w:t>strongest blind method on clean/linear data and for raw ground-truth fidelity.** *(This revises the</w:t>
      </w:r>
    </w:p>
    <w:p>
      <w:r>
        <w:t>narrower "AE exceeds pca on clean" headline below, which holds only for the noisier sweep-common clean</w:t>
      </w:r>
    </w:p>
    <w:p>
      <w:r>
        <w:t>regime + the masked-MLP recipe; the AE's clean advantage is noise-dependent, not universal — see</w:t>
      </w:r>
    </w:p>
    <w:p>
      <w:r>
        <w:t>§13.)* The remaining gate is validation on the 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The comprehensive metric battery (doc 18)</w:t>
      </w:r>
    </w:p>
    <w:p>
      <w:r>
        <w:t>To make the verdict *diamond-solid* rather than reliant on one number, we ran a full evidence battery</w:t>
      </w:r>
    </w:p>
    <w:p>
      <w:r>
        <w:t>(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): </w:t>
      </w:r>
      <w:r>
        <w:rPr>
          <w:b/>
        </w:rPr>
        <w:t>5 metric families × 8 selectors × 4 regimes × 6 seeds</w:t>
      </w:r>
      <w:r>
        <w:t>, with</w:t>
      </w:r>
    </w:p>
    <w:p>
      <w:r>
        <w:t xml:space="preserve">significance testing. The metric families: (A) downstream </w:t>
      </w:r>
      <w:r>
        <w:rPr>
          <w:b/>
        </w:rPr>
        <w:t>information-retention</w:t>
      </w:r>
      <w:r>
        <w:t xml:space="preserve"> (classifier panel</w:t>
      </w:r>
    </w:p>
    <w:p>
      <w:r>
        <w:t xml:space="preserve">linear→nonlinear, CV: macro-F1, balanced-accuracy, MCC, Cohen's κ, plus the nonlinear-only </w:t>
      </w:r>
      <w:r>
        <w:rPr>
          <w:rFonts w:ascii="Consolas" w:hAnsi="Consolas"/>
          <w:color w:val="B03060"/>
          <w:sz w:val="19"/>
        </w:rPr>
        <w:t>gap</w:t>
      </w:r>
      <w:r>
        <w:t>);</w:t>
      </w:r>
    </w:p>
    <w:p>
      <w:r>
        <w:t xml:space="preserve">(B) </w:t>
      </w:r>
      <w:r>
        <w:rPr>
          <w:b/>
        </w:rPr>
        <w:t>classifier-independent information</w:t>
      </w:r>
      <w:r>
        <w:t xml:space="preserve"> (relevance = Σ per-band MI, redundancy = mean |corr|, mRMR);</w:t>
      </w:r>
    </w:p>
    <w:p>
      <w:r>
        <w:t xml:space="preserve">(C) </w:t>
      </w:r>
      <w:r>
        <w:rPr>
          <w:b/>
        </w:rPr>
        <w:t>ground-truth band fidelity</w:t>
      </w:r>
      <w:r>
        <w:t xml:space="preserve"> (precision/recall/Jaccard vs the top-MI bands in a near-noise-free</w:t>
      </w:r>
    </w:p>
    <w:p>
      <w:r>
        <w:t xml:space="preserve">render); (D) </w:t>
      </w:r>
      <w:r>
        <w:rPr>
          <w:b/>
        </w:rPr>
        <w:t>stability</w:t>
      </w:r>
      <w:r>
        <w:t xml:space="preserve"> (mean pairwise Jaccard across seeds); (E) </w:t>
      </w:r>
      <w:r>
        <w:rPr>
          <w:b/>
        </w:rPr>
        <w:t>significance</w:t>
      </w:r>
      <w:r>
        <w:t xml:space="preserve"> (bootstrap 95% CI,</w:t>
      </w:r>
    </w:p>
    <w:p>
      <w:r>
        <w:t>Wilcoxon, Cohen's d). Selectors span blind (</w:t>
      </w:r>
      <w:r>
        <w:rPr>
          <w:rFonts w:ascii="Consolas" w:hAnsi="Consolas"/>
          <w:color w:val="B03060"/>
          <w:sz w:val="19"/>
        </w:rPr>
        <w:t>random</w:t>
      </w:r>
      <w:r>
        <w:t xml:space="preserve">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, </w:t>
      </w:r>
      <w:r>
        <w:rPr>
          <w:rFonts w:ascii="Consolas" w:hAnsi="Consolas"/>
          <w:color w:val="B03060"/>
          <w:sz w:val="19"/>
        </w:rPr>
        <w:t>AE-conv</w:t>
      </w:r>
      <w:r>
        <w:t>,</w:t>
      </w:r>
    </w:p>
    <w:p>
      <w:r>
        <w:rPr>
          <w:rFonts w:ascii="Consolas" w:hAnsi="Consolas"/>
          <w:color w:val="B03060"/>
          <w:sz w:val="19"/>
        </w:rPr>
        <w:t>AE-mlp</w:t>
      </w:r>
      <w:r>
        <w:t>), supervised references (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, </w:t>
      </w:r>
      <w:r>
        <w:rPr>
          <w:rFonts w:ascii="Consolas" w:hAnsi="Consolas"/>
          <w:color w:val="B03060"/>
          <w:sz w:val="19"/>
        </w:rPr>
        <w:t>mRMR</w:t>
      </w:r>
      <w:r>
        <w:t xml:space="preserve">), and the </w:t>
      </w:r>
      <w:r>
        <w:rPr>
          <w:rFonts w:ascii="Consolas" w:hAnsi="Consolas"/>
          <w:color w:val="B03060"/>
          <w:sz w:val="19"/>
        </w:rPr>
        <w:t>all-bands</w:t>
      </w:r>
      <w:r>
        <w:t xml:space="preserve"> ceiling.</w:t>
      </w:r>
    </w:p>
    <w:p>
      <w:r>
        <w:rPr>
          <w:b/>
        </w:rPr>
        <w:t>Headline (AE best-of-family vs `pca_load`, best-NL macro-F1):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t>clean</w:t>
            </w:r>
          </w:p>
        </w:tc>
        <w:tc>
          <w:tcPr>
            <w:tcW w:type="dxa" w:w="1234"/>
          </w:tcPr>
          <w:p>
            <w:r>
              <w:t>0.590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234"/>
          </w:tcPr>
          <w:p>
            <w:r>
              <w:t>−0.046</w:t>
            </w:r>
          </w:p>
        </w:tc>
        <w:tc>
          <w:tcPr>
            <w:tcW w:type="dxa" w:w="1234"/>
          </w:tcPr>
          <w:p>
            <w:r>
              <w:t>[−0.079, −0.019]</w:t>
            </w:r>
          </w:p>
        </w:tc>
        <w:tc>
          <w:tcPr>
            <w:tcW w:type="dxa" w:w="1234"/>
          </w:tcPr>
          <w:p>
            <w:r>
              <w:t>−1.20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234"/>
          </w:tcPr>
          <w:p>
            <w:r>
              <w:t>realistic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0.531</w:t>
            </w:r>
          </w:p>
        </w:tc>
        <w:tc>
          <w:tcPr>
            <w:tcW w:type="dxa" w:w="1234"/>
          </w:tcPr>
          <w:p>
            <w:r>
              <w:t>−0.004</w:t>
            </w:r>
          </w:p>
        </w:tc>
        <w:tc>
          <w:tcPr>
            <w:tcW w:type="dxa" w:w="1234"/>
          </w:tcPr>
          <w:p>
            <w:r>
              <w:t>[−0.018, +0.008]</w:t>
            </w:r>
          </w:p>
        </w:tc>
        <w:tc>
          <w:tcPr>
            <w:tcW w:type="dxa" w:w="1234"/>
          </w:tcPr>
          <w:p>
            <w:r>
              <w:t>−0.27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  <w:tr>
        <w:tc>
          <w:tcPr>
            <w:tcW w:type="dxa" w:w="1234"/>
          </w:tcPr>
          <w:p>
            <w:r>
              <w:t>reabsorb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[+0.001, +0.029]</w:t>
            </w:r>
          </w:p>
        </w:tc>
        <w:tc>
          <w:tcPr>
            <w:tcW w:type="dxa" w:w="1234"/>
          </w:tcPr>
          <w:p>
            <w:r>
              <w:t>+0.94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234"/>
          </w:tcPr>
          <w:p>
            <w:r>
              <w:t>fret</w:t>
            </w:r>
          </w:p>
        </w:tc>
        <w:tc>
          <w:tcPr>
            <w:tcW w:type="dxa" w:w="1234"/>
          </w:tcPr>
          <w:p>
            <w:r>
              <w:t>0.635</w:t>
            </w:r>
          </w:p>
        </w:tc>
        <w:tc>
          <w:tcPr>
            <w:tcW w:type="dxa" w:w="1234"/>
          </w:tcPr>
          <w:p>
            <w:r>
              <w:t>0.642</w:t>
            </w:r>
          </w:p>
        </w:tc>
        <w:tc>
          <w:tcPr>
            <w:tcW w:type="dxa" w:w="1234"/>
          </w:tcPr>
          <w:p>
            <w:r>
              <w:t>−0.007</w:t>
            </w:r>
          </w:p>
        </w:tc>
        <w:tc>
          <w:tcPr>
            <w:tcW w:type="dxa" w:w="1234"/>
          </w:tcPr>
          <w:p>
            <w:r>
              <w:t>[−0.031, +0.014]</w:t>
            </w:r>
          </w:p>
        </w:tc>
        <w:tc>
          <w:tcPr>
            <w:tcW w:type="dxa" w:w="1234"/>
          </w:tcPr>
          <w:p>
            <w:r>
              <w:t>−0.23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</w:tbl>
    <w:p/>
    <w:p>
      <w:r>
        <w:rPr>
          <w:b/>
        </w:rPr>
        <w:t>What the battery proves (honest):</w:t>
      </w:r>
      <w:r>
        <w:t xml:space="preserve">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the </w:t>
      </w:r>
      <w:r>
        <w:rPr>
          <w:b/>
        </w:rPr>
        <w:t>strongest blind selector overall</w:t>
      </w:r>
      <w:r>
        <w:t xml:space="preserve"> — it wins</w:t>
      </w:r>
    </w:p>
    <w:p>
      <w:r>
        <w:t>clean significantly, ties realistic and FRET, and has the **best ground-truth band precision in every</w:t>
      </w:r>
    </w:p>
    <w:p>
      <w:r>
        <w:t>regime</w:t>
      </w:r>
      <w:r>
        <w:rPr>
          <w:b/>
        </w:rPr>
        <w:t xml:space="preserve">. The </w:t>
      </w:r>
      <w:r>
        <w:t>AE+perturbation is competitive, not dominant**: it ties on realistic and FRET,</w:t>
      </w:r>
    </w:p>
    <w:p>
      <w:r>
        <w:rPr>
          <w:b/>
        </w:rPr>
        <w:t>significantly beats `pca_load` on the nonlinear reabsorption regime</w:t>
      </w:r>
      <w:r>
        <w:t>, and captures nonlinear</w:t>
      </w:r>
    </w:p>
    <w:p>
      <w:r>
        <w:t xml:space="preserve">structure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Both AE and pca are </w:t>
      </w:r>
      <w:r>
        <w:rPr>
          <w:b/>
        </w:rPr>
        <w:t>low-stability</w:t>
      </w:r>
      <w:r>
        <w:t xml:space="preserve"> (Jaccard</w:t>
      </w:r>
    </w:p>
    <w:p>
      <w:r>
        <w:t xml:space="preserve">≈ 0.1-0.2); supervised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are modest upper bounds the blind methods approach. This</w:t>
      </w:r>
    </w:p>
    <w:p>
      <w:r>
        <w:t>multi-axis, significance-tested characterisation — not any single number — is the evidence. (Full table:</w:t>
      </w:r>
    </w:p>
    <w:p>
      <w:r>
        <w:rPr>
          <w:rFonts w:ascii="Consolas" w:hAnsi="Consolas"/>
          <w:color w:val="B03060"/>
          <w:sz w:val="19"/>
        </w:rPr>
        <w:t>reports/exp_records/metric_suite.csv</w:t>
      </w:r>
      <w:r>
        <w:t>; metric catalogue + synthesis in doc 18.)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14.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