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22222"/>
          <w:sz w:val="38"/>
        </w:rPr>
        <w:t>2PP Setup API Platform — Requirements</w:t>
      </w:r>
    </w:p>
    <w:p>
      <w:r>
        <w:rPr>
          <w:color w:val="2F5A93"/>
          <w:sz w:val="23"/>
        </w:rPr>
        <w:t>Milestones 1 &amp; 2  ·  derived from the approved architecture and Mushegh's milestone feedback (24 Jul 2026)</w:t>
      </w:r>
    </w:p>
    <w:p>
      <w:r>
        <w:rPr>
          <w:color w:val="666666"/>
          <w:sz w:val="19"/>
        </w:rPr>
        <w:t>Status: Draft v1 for team review   ·   Owner: Narek   ·   Reviewers: Mushegh, Tatevik, Tetiana, Aram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5F1E9"/>
          </w:tcPr>
          <w:p>
            <w:r>
              <w:rPr>
                <w:b/>
                <w:color w:val="2E8B57"/>
                <w:sz w:val="19"/>
              </w:rPr>
              <w:t xml:space="preserve">Implementation status: </w:t>
            </w:r>
            <w:r>
              <w:rPr>
                <w:i/>
                <w:sz w:val="19"/>
              </w:rPr>
              <w:t>a first working version of the Milestone-1 platform ('labgate') exists on branch feature/labgate-platform — 68 automated tests, fully runnable in simulation mode without hardware. The open questions in §7 gate the remaining work (camera/WL adapters, rig bring-up, chat platform integration).</w:t>
            </w:r>
          </w:p>
        </w:tc>
      </w:tr>
    </w:tbl>
    <w:p>
      <w:pPr>
        <w:spacing w:after="40"/>
      </w:pPr>
    </w:p>
    <w:p>
      <w:pPr>
        <w:pStyle w:val="Heading1"/>
      </w:pPr>
      <w:r>
        <w:t>1.  Context</w:t>
      </w:r>
    </w:p>
    <w:p>
      <w:pPr>
        <w:spacing w:after="120"/>
      </w:pPr>
      <w:r>
        <w:rPr>
          <w:b w:val="0"/>
          <w:i w:val="0"/>
          <w:sz w:val="21"/>
        </w:rPr>
        <w:t>The architecture proposal was reviewed and the general plan approved. Two milestones are green-lit:</w:t>
      </w:r>
    </w:p>
    <w:p>
      <w:pPr>
        <w:pStyle w:val="ListBullet"/>
        <w:spacing w:after="60"/>
      </w:pPr>
      <w:r>
        <w:rPr>
          <w:b/>
        </w:rPr>
        <w:t xml:space="preserve">Milestone 1 — The 2PP Setup API Platform (layers L0–L3): </w:t>
      </w:r>
      <w:r>
        <w:t>one unified API platform integrating the laser, 3D stage, camera, and white-light (WL) source on the custom 2PP setup. All four units are already automated individually; documentation and SDKs live on the setup computer. Contacts: Tatevik Sarukhanyan, Tetiana Orlova.</w:t>
      </w:r>
    </w:p>
    <w:p>
      <w:pPr>
        <w:pStyle w:val="ListBullet"/>
        <w:spacing w:after="60"/>
      </w:pPr>
      <w:r>
        <w:rPr>
          <w:b/>
        </w:rPr>
        <w:t xml:space="preserve">Milestone 2 — Proof-of-principle AI interface &amp; validation loop: </w:t>
      </w:r>
      <w:r>
        <w:t>connect the platform to chat.photonics.ai (built by Aram), where an Optical Microfabrication Specialist agent (user-facing) and an Experimentalist agent (background) plan, cross-validate, obtain user approval, execute via our API, and analyze results.</w:t>
      </w:r>
    </w:p>
    <w:p>
      <w:pPr>
        <w:spacing w:after="120"/>
      </w:pPr>
      <w:r>
        <w:rPr>
          <w:b/>
          <w:i w:val="0"/>
          <w:sz w:val="21"/>
        </w:rPr>
        <w:t>Overriding design goal: the platform must be integratable into any environment — any UI, any chat platform, any agent framework, any scripting language. chat.photonics.ai is the first client, never a dependency.</w:t>
      </w:r>
    </w:p>
    <w:p>
      <w:pPr>
        <w:pStyle w:val="Heading1"/>
      </w:pPr>
      <w:r>
        <w:t>2.  Scope</w:t>
      </w:r>
    </w:p>
    <w:p>
      <w:pPr>
        <w:pStyle w:val="ListBullet"/>
        <w:spacing w:after="60"/>
      </w:pPr>
      <w:r>
        <w:rPr>
          <w:b/>
        </w:rPr>
        <w:t xml:space="preserve">In scope (M1): </w:t>
      </w:r>
      <w:r>
        <w:t>device adapters for the four units; capability registry; declarative Experiment Specification; validation engine; plan lifecycle with approval; execution engine (owns synchronization); results/artifacts; audit log; auth with roles; simulation mode; REST API + OpenAPI spec.</w:t>
      </w:r>
    </w:p>
    <w:p>
      <w:pPr>
        <w:pStyle w:val="ListBullet"/>
        <w:spacing w:after="60"/>
      </w:pPr>
      <w:r>
        <w:rPr>
          <w:b/>
        </w:rPr>
        <w:t xml:space="preserve">In scope (M2): </w:t>
      </w:r>
      <w:r>
        <w:t>integration contract + guide for chat.photonics.ai; example client; support for the two-agent workflow; result transfer back to the platform agents.</w:t>
      </w:r>
    </w:p>
    <w:p>
      <w:pPr>
        <w:pStyle w:val="ListBullet"/>
        <w:spacing w:after="60"/>
      </w:pPr>
      <w:r>
        <w:rPr>
          <w:b/>
        </w:rPr>
        <w:t xml:space="preserve">Out of scope (for now): </w:t>
      </w:r>
      <w:r>
        <w:t>structure-design assistance (roadmap Phase F); replacing the hardware sync mechanism (it gets encapsulated, improved later); building any UI of our own beyond API docs.</w:t>
      </w:r>
    </w:p>
    <w:p>
      <w:pPr>
        <w:pStyle w:val="Heading1"/>
      </w:pPr>
      <w:r>
        <w:t>3.  Functional requirements — Milestone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9360"/>
      </w:tblGrid>
      <w:tr>
        <w:tc>
          <w:tcPr>
            <w:tcW w:type="dxa" w:w="720"/>
            <w:shd w:val="clear" w:fill="2F5A93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9360"/>
            <w:shd w:val="clear" w:fill="2F5A93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F1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Expose four device classes behind one API: motion stage, laser, camera, white-light source.</w:t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/>
                <w:sz w:val="19"/>
              </w:rPr>
              <w:t>F2</w:t>
            </w:r>
          </w:p>
        </w:tc>
        <w:tc>
          <w:tcPr>
            <w:tcW w:type="dxa" w:w="9360"/>
            <w:shd w:val="clear" w:fill="F2F5FA"/>
          </w:tcPr>
          <w:p>
            <w:r/>
            <w:r>
              <w:rPr>
                <w:sz w:val="19"/>
              </w:rPr>
              <w:t>Each device adapter declares its capabilities (operations with typed parameters, units, hard bounds, pre/postconditions) in machine-readable form; queryable via GET /capabilities so any AI client can ground itself without prior knowledge.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F3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Experiments are described by a declarative Experiment Specification (JSON/YAML, schema-versioned): an ordered list of high-level operations. Specs are stored, versioned, and re-runnable without any AI.</w:t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/>
                <w:sz w:val="19"/>
              </w:rPr>
              <w:t>F4</w:t>
            </w:r>
          </w:p>
        </w:tc>
        <w:tc>
          <w:tcPr>
            <w:tcW w:type="dxa" w:w="9360"/>
            <w:shd w:val="clear" w:fill="F2F5FA"/>
          </w:tcPr>
          <w:p>
            <w:r/>
            <w:r>
              <w:rPr>
                <w:sz w:val="19"/>
              </w:rPr>
              <w:t>Server-enforced plan lifecycle: draft → validated → approved → queued → running → completed / failed / aborted, with endpoints to create, validate, dry-run, approve, execute, monitor, abort, and fetch results. Invalid transitions rejected server-side.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F5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A deterministic validation engine checks every spec against parameter bounds, stage travel range, exposure/power policy, mutual device constraints, and current device state; it produces a human-readable report feeding the approval step and the agents.</w:t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/>
                <w:sz w:val="19"/>
              </w:rPr>
              <w:t>F6</w:t>
            </w:r>
          </w:p>
        </w:tc>
        <w:tc>
          <w:tcPr>
            <w:tcW w:type="dxa" w:w="9360"/>
            <w:shd w:val="clear" w:fill="F2F5FA"/>
          </w:tcPr>
          <w:p>
            <w:r/>
            <w:r>
              <w:rPr>
                <w:sz w:val="19"/>
              </w:rPr>
              <w:t>Dry-run simulates a validated plan without hardware: estimated duration, toolpath envelope, exposure summary.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F7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The execution engine is the only component that commands hardware. It expands specs into device commands, owns stage↔laser synchronization, holds per-device single-writer locks, and on any fault drives devices to safe state (laser off first).</w:t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/>
                <w:sz w:val="19"/>
              </w:rPr>
              <w:t>F8</w:t>
            </w:r>
          </w:p>
        </w:tc>
        <w:tc>
          <w:tcPr>
            <w:tcW w:type="dxa" w:w="9360"/>
            <w:shd w:val="clear" w:fill="F2F5FA"/>
          </w:tcPr>
          <w:p>
            <w:r/>
            <w:r>
              <w:rPr>
                <w:sz w:val="19"/>
              </w:rPr>
              <w:t>Runs produce retrievable results: telemetry/event log and camera artifacts (images), via GET /plans/{id}/results.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F9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An append-only audit log records every request, validation outcome, approval (with approver identity), execution event, and fault.</w:t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/>
                <w:sz w:val="19"/>
              </w:rPr>
              <w:t>F10</w:t>
            </w:r>
          </w:p>
        </w:tc>
        <w:tc>
          <w:tcPr>
            <w:tcW w:type="dxa" w:w="9360"/>
            <w:shd w:val="clear" w:fill="F2F5FA"/>
          </w:tcPr>
          <w:p>
            <w:r/>
            <w:r>
              <w:rPr>
                <w:sz w:val="19"/>
              </w:rPr>
              <w:t>Token-based authentication; roles operator (propose/execute), approver (approve), admin. The platform enforces proposer ≠ approver server-side.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F11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Simulation mode: the entire platform runs with simulated adapters (no hardware), enabling development off the rig, CI testing, and safe agent-integration testing for M2.</w:t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/>
                <w:sz w:val="19"/>
              </w:rPr>
              <w:t>F12</w:t>
            </w:r>
          </w:p>
        </w:tc>
        <w:tc>
          <w:tcPr>
            <w:tcW w:type="dxa" w:w="9360"/>
            <w:shd w:val="clear" w:fill="F2F5FA"/>
          </w:tcPr>
          <w:p>
            <w:r/>
            <w:r>
              <w:rPr>
                <w:sz w:val="19"/>
              </w:rPr>
              <w:t>Device health/state queryable (GET /devices): connection status, last-known positions/settings.</w:t>
            </w:r>
          </w:p>
        </w:tc>
      </w:tr>
    </w:tbl>
    <w:p>
      <w:pPr>
        <w:spacing w:after="40"/>
      </w:pPr>
    </w:p>
    <w:p>
      <w:pPr>
        <w:pStyle w:val="Heading1"/>
      </w:pPr>
      <w:r>
        <w:t>4.  Non-functional requirements (integratability first)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9360"/>
      </w:tblGrid>
      <w:tr>
        <w:tc>
          <w:tcPr>
            <w:tcW w:type="dxa" w:w="720"/>
            <w:shd w:val="clear" w:fill="2F5A93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9360"/>
            <w:shd w:val="clear" w:fill="2F5A93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N1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UI-agnostic contract: pure HTTP/JSON REST with an auto-generated OpenAPI 3 document. No assumption about the client (chat platform, script, GUI, agent framework).</w:t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/>
                <w:sz w:val="19"/>
              </w:rPr>
              <w:t>N2</w:t>
            </w:r>
          </w:p>
        </w:tc>
        <w:tc>
          <w:tcPr>
            <w:tcW w:type="dxa" w:w="9360"/>
            <w:shd w:val="clear" w:fill="F2F5FA"/>
          </w:tcPr>
          <w:p>
            <w:r/>
            <w:r>
              <w:rPr>
                <w:sz w:val="19"/>
              </w:rPr>
              <w:t>MCP-ready: the capability registry and endpoints map cleanly onto Model Context Protocol tools so a thin MCP wrapper can be added later without touching the core.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N3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Extensible devices: adding a device = writing one adapter implementing the adapter interface + registering it. Zero changes to core code.</w:t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/>
                <w:sz w:val="19"/>
              </w:rPr>
              <w:t>N4</w:t>
            </w:r>
          </w:p>
        </w:tc>
        <w:tc>
          <w:tcPr>
            <w:tcW w:type="dxa" w:w="9360"/>
            <w:shd w:val="clear" w:fill="F2F5FA"/>
          </w:tcPr>
          <w:p>
            <w:r/>
            <w:r>
              <w:rPr>
                <w:sz w:val="19"/>
              </w:rPr>
              <w:t>Deployable on the setup computer: Python, minimal dependency footprint, single-process service; no cloud dependency to operate locally.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N5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The API is the only path to hardware. Agents, UIs, and scripts never import drivers directly.</w:t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/>
                <w:sz w:val="19"/>
              </w:rPr>
              <w:t>N6</w:t>
            </w:r>
          </w:p>
        </w:tc>
        <w:tc>
          <w:tcPr>
            <w:tcW w:type="dxa" w:w="9360"/>
            <w:shd w:val="clear" w:fill="F2F5FA"/>
          </w:tcPr>
          <w:p>
            <w:r/>
            <w:r>
              <w:rPr>
                <w:sz w:val="19"/>
              </w:rPr>
              <w:t>Status via polling first (simple, universal); streaming (SSE/WebSocket) optional later.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N7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All timestamps, units, and coordinates explicit in the schema (µm, mm/s, mW, ISO-8601) — agents must never guess units.</w:t>
            </w:r>
          </w:p>
        </w:tc>
      </w:tr>
    </w:tbl>
    <w:p>
      <w:pPr>
        <w:spacing w:after="40"/>
      </w:pPr>
    </w:p>
    <w:p>
      <w:pPr>
        <w:pStyle w:val="Heading1"/>
      </w:pPr>
      <w:r>
        <w:t>5.  Milestone 2 — mapping the two-agent workflow onto the API</w:t>
      </w:r>
    </w:p>
    <w:p>
      <w:pPr>
        <w:spacing w:after="120"/>
      </w:pPr>
      <w:r>
        <w:rPr>
          <w:b w:val="0"/>
          <w:i w:val="0"/>
          <w:sz w:val="21"/>
        </w:rPr>
        <w:t>The platform stays agent-agnostic; the approved workflow maps onto plain API calls: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08"/>
        <w:gridCol w:w="5472"/>
      </w:tblGrid>
      <w:tr>
        <w:tc>
          <w:tcPr>
            <w:tcW w:type="dxa" w:w="4608"/>
            <w:shd w:val="clear" w:fill="2F5A93"/>
          </w:tcPr>
          <w:p>
            <w:r/>
            <w:r>
              <w:rPr>
                <w:b/>
                <w:color w:val="FFFFFF"/>
                <w:sz w:val="19"/>
              </w:rPr>
              <w:t>Workflow step (per Mushegh)</w:t>
            </w:r>
          </w:p>
        </w:tc>
        <w:tc>
          <w:tcPr>
            <w:tcW w:type="dxa" w:w="5472"/>
            <w:shd w:val="clear" w:fill="2F5A93"/>
          </w:tcPr>
          <w:p>
            <w:r/>
            <w:r>
              <w:rPr>
                <w:b/>
                <w:color w:val="FFFFFF"/>
                <w:sz w:val="19"/>
              </w:rPr>
              <w:t>API interaction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Specialist + user discuss; Experimentalist formulates plan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GET /capabilities, GET /devices for grounding; POST /plans with the spec</w:t>
            </w:r>
          </w:p>
        </w:tc>
      </w:tr>
      <w:tr>
        <w:tc>
          <w:tcPr>
            <w:tcW w:type="dxa" w:w="4608"/>
            <w:shd w:val="clear" w:fill="F2F5FA"/>
          </w:tcPr>
          <w:p>
            <w:r/>
            <w:r>
              <w:rPr>
                <w:b/>
                <w:sz w:val="19"/>
              </w:rPr>
              <w:t>Experimentalist sends plan back to Specialist for validation</w:t>
            </w:r>
          </w:p>
        </w:tc>
        <w:tc>
          <w:tcPr>
            <w:tcW w:type="dxa" w:w="5472"/>
            <w:shd w:val="clear" w:fill="F2F5FA"/>
          </w:tcPr>
          <w:p>
            <w:r/>
            <w:r>
              <w:rPr>
                <w:sz w:val="19"/>
              </w:rPr>
              <w:t>read the plan's deterministic validation report + POST /plans/{id}/dry-run; agents add domain judgment on top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Specialist presents plan to user; user confirms in chat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POST /plans/{id}/approve — must carry an identity distinct from the proposer (see Q-A3)</w:t>
            </w:r>
          </w:p>
        </w:tc>
      </w:tr>
      <w:tr>
        <w:tc>
          <w:tcPr>
            <w:tcW w:type="dxa" w:w="4608"/>
            <w:shd w:val="clear" w:fill="F2F5FA"/>
          </w:tcPr>
          <w:p>
            <w:r/>
            <w:r>
              <w:rPr>
                <w:b/>
                <w:sz w:val="19"/>
              </w:rPr>
              <w:t>Experimentalist executes</w:t>
            </w:r>
          </w:p>
        </w:tc>
        <w:tc>
          <w:tcPr>
            <w:tcW w:type="dxa" w:w="5472"/>
            <w:shd w:val="clear" w:fill="F2F5FA"/>
          </w:tcPr>
          <w:p>
            <w:r/>
            <w:r>
              <w:rPr>
                <w:sz w:val="19"/>
              </w:rPr>
              <w:t>POST /plans/{id}/execute; poll GET /plans/{id}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Results transferred back; Specialist analyzes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GET /plans/{id}/results (telemetry + images)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19"/>
        </w:rPr>
        <w:t>Note: the agents' internal cross-validation is a quality layer above the trust boundary. It complements — never replaces — the platform's deterministic validation (F5) and role-enforced approval (F10).</w:t>
      </w:r>
    </w:p>
    <w:p>
      <w:pPr>
        <w:pStyle w:val="Heading1"/>
      </w:pPr>
      <w:r>
        <w:t>6.  Constraints &amp; assumptions</w:t>
      </w:r>
    </w:p>
    <w:p>
      <w:pPr>
        <w:pStyle w:val="ListBullet"/>
        <w:spacing w:after="60"/>
      </w:pPr>
      <w:r>
        <w:t>Stage: Standa 8MTL120XY via ACS SPiiPlus (SPiiPlusPython from local ACS ADK wheel; Ethernet TCP 10.0.0.100:701; ±25 mm; 1 µm).</w:t>
      </w:r>
    </w:p>
    <w:p>
      <w:pPr>
        <w:pStyle w:val="ListBullet"/>
        <w:spacing w:after="60"/>
      </w:pPr>
      <w:r>
        <w:t>Laser: Phoebe PH2 via HTTP REST (192.168.244.10/phoebe/v0/…).</w:t>
      </w:r>
    </w:p>
    <w:p>
      <w:pPr>
        <w:pStyle w:val="ListBullet"/>
        <w:spacing w:after="60"/>
      </w:pPr>
      <w:r>
        <w:t>Camera &amp; WL source: automated per the feedback; SDKs on the setup computer — models/interfaces unknown until we get the docs (Q-H1/Q-H2). Adapters ship as simulated + stub-real until then.</w:t>
      </w:r>
    </w:p>
    <w:p>
      <w:pPr>
        <w:pStyle w:val="ListBullet"/>
        <w:spacing w:after="60"/>
      </w:pPr>
      <w:r>
        <w:t>Current stage↔laser sync is timing-calibrated (sleep-based); it is encapsulated behind a synchronizer interface in M1, improved later.</w:t>
      </w:r>
    </w:p>
    <w:p>
      <w:pPr>
        <w:pStyle w:val="ListBullet"/>
        <w:spacing w:after="60"/>
      </w:pPr>
      <w:r>
        <w:t>Independent hardware interlocks exist on the rig — the software safety layer sits above them.</w:t>
      </w:r>
    </w:p>
    <w:p>
      <w:pPr>
        <w:pStyle w:val="ListBullet"/>
        <w:spacing w:after="60"/>
      </w:pPr>
      <w:r>
        <w:t>Rig computer is Windows with Python 3.12 (.venv312 holds the vendor wheel); 3.13 is allowed for simulation-mode development off the rig.</w:t>
      </w:r>
    </w:p>
    <w:p>
      <w:pPr>
        <w:pStyle w:val="Heading1"/>
      </w:pPr>
      <w:r>
        <w:t>7.  Questions for the team</w:t>
      </w:r>
    </w:p>
    <w:p>
      <w:pPr>
        <w:spacing w:after="120"/>
      </w:pPr>
      <w:r>
        <w:rPr>
          <w:b w:val="0"/>
          <w:i/>
          <w:color w:val="666666"/>
          <w:sz w:val="19"/>
        </w:rPr>
        <w:t>As requested, all open questions gathered in one place. The Answer column is intentionally blank — to be filled during the clarification discussion.</w:t>
      </w:r>
    </w:p>
    <w:p>
      <w:pPr>
        <w:pStyle w:val="Heading2"/>
      </w:pPr>
      <w:r>
        <w:t>7.1  Hardware / current automation — Tatevik &amp; Tetiana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64"/>
        <w:gridCol w:w="6623"/>
        <w:gridCol w:w="2592"/>
      </w:tblGrid>
      <w:tr>
        <w:tc>
          <w:tcPr>
            <w:tcW w:type="dxa" w:w="864"/>
            <w:shd w:val="clear" w:fill="2E8B57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624"/>
            <w:shd w:val="clear" w:fill="2E8B57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592"/>
            <w:shd w:val="clear" w:fill="2E8B57"/>
          </w:tcPr>
          <w:p>
            <w:r/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Q-H1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Camera — exact model, SDK (vendor lib? GenICam? OpenCV-compatible?), and the current automation script. Which capture parameters matter (exposure, gain, ROI)?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  <w:shd w:val="clear" w:fill="F2F5FA"/>
          </w:tcPr>
          <w:p>
            <w:r/>
            <w:r>
              <w:rPr>
                <w:b/>
                <w:sz w:val="19"/>
              </w:rPr>
              <w:t>Q-H2</w:t>
            </w:r>
          </w:p>
        </w:tc>
        <w:tc>
          <w:tcPr>
            <w:tcW w:type="dxa" w:w="6624"/>
            <w:shd w:val="clear" w:fill="F2F5FA"/>
          </w:tcPr>
          <w:p>
            <w:r/>
            <w:r>
              <w:rPr>
                <w:sz w:val="19"/>
              </w:rPr>
              <w:t>WL source — model and control interface (serial? USB? vendor DLL?), controllable parameters (on/off? intensity?), and the current script.</w:t>
            </w:r>
          </w:p>
        </w:tc>
        <w:tc>
          <w:tcPr>
            <w:tcW w:type="dxa" w:w="2592"/>
            <w:shd w:val="clear" w:fill="F2F5FA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Q-H3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Mutual-constraint rules we must encode? (e.g., WL off during 2PP exposure; camera capture requires WL on; shutter states.)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  <w:shd w:val="clear" w:fill="F2F5FA"/>
          </w:tcPr>
          <w:p>
            <w:r/>
            <w:r>
              <w:rPr>
                <w:b/>
                <w:sz w:val="19"/>
              </w:rPr>
              <w:t>Q-H4</w:t>
            </w:r>
          </w:p>
        </w:tc>
        <w:tc>
          <w:tcPr>
            <w:tcW w:type="dxa" w:w="6624"/>
            <w:shd w:val="clear" w:fill="F2F5FA"/>
          </w:tcPr>
          <w:p>
            <w:r/>
            <w:r>
              <w:rPr>
                <w:sz w:val="19"/>
              </w:rPr>
              <w:t>Definitive safe-state per device (laser: off vs. shutter closed; stage: stop vs. home; WL: off)?</w:t>
            </w:r>
          </w:p>
        </w:tc>
        <w:tc>
          <w:tcPr>
            <w:tcW w:type="dxa" w:w="2592"/>
            <w:shd w:val="clear" w:fill="F2F5FA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Q-H5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Setup computer: OS + version, Python available, can we run a persistent local service on it?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7.2  Safety &amp; policy — Mushegh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64"/>
        <w:gridCol w:w="6623"/>
        <w:gridCol w:w="2592"/>
      </w:tblGrid>
      <w:tr>
        <w:tc>
          <w:tcPr>
            <w:tcW w:type="dxa" w:w="864"/>
            <w:shd w:val="clear" w:fill="B23B3B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624"/>
            <w:shd w:val="clear" w:fill="B23B3B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592"/>
            <w:shd w:val="clear" w:fill="B23B3B"/>
          </w:tcPr>
          <w:p>
            <w:r/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Q-S1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Who signs off the hard bounds table (max laser power, max stage speed, exposure limits) that the validation engine enforces?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  <w:shd w:val="clear" w:fill="F2F5FA"/>
          </w:tcPr>
          <w:p>
            <w:r/>
            <w:r>
              <w:rPr>
                <w:b/>
                <w:sz w:val="19"/>
              </w:rPr>
              <w:t>Q-S2</w:t>
            </w:r>
          </w:p>
        </w:tc>
        <w:tc>
          <w:tcPr>
            <w:tcW w:type="dxa" w:w="6624"/>
            <w:shd w:val="clear" w:fill="F2F5FA"/>
          </w:tcPr>
          <w:p>
            <w:r/>
            <w:r>
              <w:rPr>
                <w:sz w:val="19"/>
              </w:rPr>
              <w:t>Confirm the interlock inventory on this specific setup (e-stop, shutter/key, enclosure).</w:t>
            </w:r>
          </w:p>
        </w:tc>
        <w:tc>
          <w:tcPr>
            <w:tcW w:type="dxa" w:w="2592"/>
            <w:shd w:val="clear" w:fill="F2F5FA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7.3  Approval &amp; identity — Mushegh &amp; Aram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64"/>
        <w:gridCol w:w="6623"/>
        <w:gridCol w:w="2592"/>
      </w:tblGrid>
      <w:tr>
        <w:tc>
          <w:tcPr>
            <w:tcW w:type="dxa" w:w="864"/>
            <w:shd w:val="clear" w:fill="C8881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624"/>
            <w:shd w:val="clear" w:fill="C8881F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592"/>
            <w:shd w:val="clear" w:fill="C8881F"/>
          </w:tcPr>
          <w:p>
            <w:r/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Q-A1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How does chat.photonics.ai authenticate users, and can it pass the user's identity through to our API (needed for audit + proposer ≠ approver)?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  <w:shd w:val="clear" w:fill="F2F5FA"/>
          </w:tcPr>
          <w:p>
            <w:r/>
            <w:r>
              <w:rPr>
                <w:b/>
                <w:sz w:val="19"/>
              </w:rPr>
              <w:t>Q-A2</w:t>
            </w:r>
          </w:p>
        </w:tc>
        <w:tc>
          <w:tcPr>
            <w:tcW w:type="dxa" w:w="6624"/>
            <w:shd w:val="clear" w:fill="F2F5FA"/>
          </w:tcPr>
          <w:p>
            <w:r/>
            <w:r>
              <w:rPr>
                <w:sz w:val="19"/>
              </w:rPr>
              <w:t>Who are the designated approvers? Is the chatting user ever also the approver, or must a qualified person approve (the architecture recommends proposer ≠ approver)?</w:t>
            </w:r>
          </w:p>
        </w:tc>
        <w:tc>
          <w:tcPr>
            <w:tcW w:type="dxa" w:w="2592"/>
            <w:shd w:val="clear" w:fill="F2F5FA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Q-A3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Is a chat reply ('I confirm…') acceptable as the approval UI, provided the platform still enforces an authenticated approve call with a distinct approver identity underneath?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7.4  Platform integration — Aram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64"/>
        <w:gridCol w:w="6623"/>
        <w:gridCol w:w="2592"/>
      </w:tblGrid>
      <w:tr>
        <w:tc>
          <w:tcPr>
            <w:tcW w:type="dxa" w:w="864"/>
            <w:shd w:val="clear" w:fill="3B6FB6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624"/>
            <w:shd w:val="clear" w:fill="3B6FB6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592"/>
            <w:shd w:val="clear" w:fill="3B6FB6"/>
          </w:tcPr>
          <w:p>
            <w:r/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Q-P1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Where does chat.photonics.ai run (cloud/on-prem)? What network path exists to the setup computer (VPN? tunnel? same LAN?) — do we need to expose the API beyond the lab network?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  <w:shd w:val="clear" w:fill="F2F5FA"/>
          </w:tcPr>
          <w:p>
            <w:r/>
            <w:r>
              <w:rPr>
                <w:b/>
                <w:sz w:val="19"/>
              </w:rPr>
              <w:t>Q-P2</w:t>
            </w:r>
          </w:p>
        </w:tc>
        <w:tc>
          <w:tcPr>
            <w:tcW w:type="dxa" w:w="6624"/>
            <w:shd w:val="clear" w:fill="F2F5FA"/>
          </w:tcPr>
          <w:p>
            <w:r/>
            <w:r>
              <w:rPr>
                <w:sz w:val="19"/>
              </w:rPr>
              <w:t>How do the Specialist/Experimentalist agents call external tools — OpenAPI/function calling, MCP, or custom HTTP? (The platform provides OpenAPI now, MCP wrapper on request.)</w:t>
            </w:r>
          </w:p>
        </w:tc>
        <w:tc>
          <w:tcPr>
            <w:tcW w:type="dxa" w:w="2592"/>
            <w:shd w:val="clear" w:fill="F2F5FA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Q-P3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How should large artifacts (images) be transferred — inline base64, download URLs, or a shared store?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  <w:shd w:val="clear" w:fill="F2F5FA"/>
          </w:tcPr>
          <w:p>
            <w:r/>
            <w:r>
              <w:rPr>
                <w:b/>
                <w:sz w:val="19"/>
              </w:rPr>
              <w:t>Q-P4</w:t>
            </w:r>
          </w:p>
        </w:tc>
        <w:tc>
          <w:tcPr>
            <w:tcW w:type="dxa" w:w="6624"/>
            <w:shd w:val="clear" w:fill="F2F5FA"/>
          </w:tcPr>
          <w:p>
            <w:r/>
            <w:r>
              <w:rPr>
                <w:sz w:val="19"/>
              </w:rPr>
              <w:t>Who authors/owns the two agents' prompts and tool definitions — the chat-platform side, or do we supply a 'tool manifest' they load?</w:t>
            </w:r>
          </w:p>
        </w:tc>
        <w:tc>
          <w:tcPr>
            <w:tcW w:type="dxa" w:w="2592"/>
            <w:shd w:val="clear" w:fill="F2F5FA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7.5  Process — Mushegh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64"/>
        <w:gridCol w:w="6623"/>
        <w:gridCol w:w="2592"/>
      </w:tblGrid>
      <w:tr>
        <w:tc>
          <w:tcPr>
            <w:tcW w:type="dxa" w:w="864"/>
            <w:shd w:val="clear" w:fill="B23B3B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624"/>
            <w:shd w:val="clear" w:fill="B23B3B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592"/>
            <w:shd w:val="clear" w:fill="B23B3B"/>
          </w:tcPr>
          <w:p>
            <w:r/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Q-M1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Definition of done for M1: is simulation-mode demo + stage/laser live on the rig sufficient, with camera/WL following once SDK docs are in hand?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  <w:shd w:val="clear" w:fill="F2F5FA"/>
          </w:tcPr>
          <w:p>
            <w:r/>
            <w:r>
              <w:rPr>
                <w:b/>
                <w:sz w:val="19"/>
              </w:rPr>
              <w:t>Q-M2</w:t>
            </w:r>
          </w:p>
        </w:tc>
        <w:tc>
          <w:tcPr>
            <w:tcW w:type="dxa" w:w="6624"/>
            <w:shd w:val="clear" w:fill="F2F5FA"/>
          </w:tcPr>
          <w:p>
            <w:r/>
            <w:r>
              <w:rPr>
                <w:sz w:val="19"/>
              </w:rPr>
              <w:t>For M2's proof of principle, which experiment class should the demo run — parameter-sweep arrays (recommended: bounded, well-understood) or STL prints?</w:t>
            </w:r>
          </w:p>
        </w:tc>
        <w:tc>
          <w:tcPr>
            <w:tcW w:type="dxa" w:w="2592"/>
            <w:shd w:val="clear" w:fill="F2F5FA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 Traceability to the approved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320"/>
        <w:gridCol w:w="5760"/>
      </w:tblGrid>
      <w:tr>
        <w:tc>
          <w:tcPr>
            <w:tcW w:type="dxa" w:w="4320"/>
            <w:shd w:val="clear" w:fill="2F5A93"/>
          </w:tcPr>
          <w:p>
            <w:r/>
            <w:r>
              <w:rPr>
                <w:b/>
                <w:color w:val="FFFFFF"/>
                <w:sz w:val="19"/>
              </w:rPr>
              <w:t>Architecture layer (proposal §4)</w:t>
            </w:r>
          </w:p>
        </w:tc>
        <w:tc>
          <w:tcPr>
            <w:tcW w:type="dxa" w:w="5760"/>
            <w:shd w:val="clear" w:fill="2F5A93"/>
          </w:tcPr>
          <w:p>
            <w:r/>
            <w:r>
              <w:rPr>
                <w:b/>
                <w:color w:val="FFFFFF"/>
                <w:sz w:val="19"/>
              </w:rPr>
              <w:t>Realization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L0–L1  Rig + interlocks / device firmware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Existing hardware (interlocks confirmed present)</w:t>
            </w:r>
          </w:p>
        </w:tc>
      </w:tr>
      <w:tr>
        <w:tc>
          <w:tcPr>
            <w:tcW w:type="dxa" w:w="4320"/>
            <w:shd w:val="clear" w:fill="F2F5FA"/>
          </w:tcPr>
          <w:p>
            <w:r/>
            <w:r>
              <w:rPr>
                <w:b/>
                <w:sz w:val="19"/>
              </w:rPr>
              <w:t>L2  Device abstraction layer</w:t>
            </w:r>
          </w:p>
        </w:tc>
        <w:tc>
          <w:tcPr>
            <w:tcW w:type="dxa" w:w="5760"/>
            <w:shd w:val="clear" w:fill="F2F5FA"/>
          </w:tcPr>
          <w:p>
            <w:r/>
            <w:r>
              <w:rPr>
                <w:sz w:val="19"/>
              </w:rPr>
              <w:t>Platform device adapters + capability registry (F1–F2)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L3  API-Gate / orchestration core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Validation, lifecycle, approval, executor, audit, auth (F4–F10, F12)</w:t>
            </w:r>
          </w:p>
        </w:tc>
      </w:tr>
      <w:tr>
        <w:tc>
          <w:tcPr>
            <w:tcW w:type="dxa" w:w="4320"/>
            <w:shd w:val="clear" w:fill="F2F5FA"/>
          </w:tcPr>
          <w:p>
            <w:r/>
            <w:r>
              <w:rPr>
                <w:b/>
                <w:sz w:val="19"/>
              </w:rPr>
              <w:t>L4  Experiment Specification</w:t>
            </w:r>
          </w:p>
        </w:tc>
        <w:tc>
          <w:tcPr>
            <w:tcW w:type="dxa" w:w="5760"/>
            <w:shd w:val="clear" w:fill="F2F5FA"/>
          </w:tcPr>
          <w:p>
            <w:r/>
            <w:r>
              <w:rPr>
                <w:sz w:val="19"/>
              </w:rPr>
              <w:t>Declarative spec schema (F3)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L5–L6  AI planning + conversational UI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chat.photonics.ai agents + chat (Aram's side, Milestone 2)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19"/>
        </w:rPr>
        <w:t>The four design principles remain binding on every implementation decision: the AI proposes / the deterministic layer disposes; the AI's output is untrusted input; the model authors intent, not trajectories; value before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5A9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A9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