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DB59" w14:textId="77777777" w:rsidR="00641732" w:rsidRDefault="00000000">
      <w:pPr>
        <w:spacing w:after="40"/>
      </w:pPr>
      <w:r>
        <w:rPr>
          <w:b/>
          <w:color w:val="222222"/>
          <w:sz w:val="40"/>
        </w:rPr>
        <w:t>Natural-Language Control of Laboratory Equipment</w:t>
      </w:r>
    </w:p>
    <w:p w14:paraId="2719CEE8" w14:textId="77777777" w:rsidR="00641732" w:rsidRDefault="00000000">
      <w:r>
        <w:rPr>
          <w:color w:val="2F5A93"/>
          <w:sz w:val="25"/>
        </w:rPr>
        <w:t>A reference architecture for safe, reproducible AI-assisted experimentation</w:t>
      </w:r>
    </w:p>
    <w:p w14:paraId="24237180" w14:textId="77777777" w:rsidR="00641732" w:rsidRDefault="00000000">
      <w:r>
        <w:rPr>
          <w:color w:val="666666"/>
          <w:sz w:val="19"/>
        </w:rPr>
        <w:t>Architecture proposal  ·  for discussion &amp; approval  ·  Draft v1</w:t>
      </w:r>
    </w:p>
    <w:p w14:paraId="7EC5FF75" w14:textId="77777777" w:rsidR="00641732" w:rsidRDefault="00641732">
      <w:pPr>
        <w:pBdr>
          <w:bottom w:val="single" w:sz="6" w:space="1" w:color="BBBBBB"/>
        </w:pBdr>
        <w:spacing w:after="80"/>
      </w:pPr>
    </w:p>
    <w:p w14:paraId="0CE6220B" w14:textId="77777777" w:rsidR="00641732" w:rsidRDefault="00000000">
      <w:pPr>
        <w:pStyle w:val="Heading1"/>
      </w:pPr>
      <w:r>
        <w:t>1.  Executive summary</w:t>
      </w:r>
    </w:p>
    <w:p w14:paraId="73B4C11B" w14:textId="591EE2F6" w:rsidR="00641732" w:rsidRDefault="00000000">
      <w:r>
        <w:t>Researchers want to operate lab equipment by describing what they want in plain language</w:t>
      </w:r>
      <w:r w:rsidR="00A22979">
        <w:t xml:space="preserve">, </w:t>
      </w:r>
      <w:r>
        <w:t>typing or talking to an AI assistant rather than writing control scripts. This document proposes an architecture that makes that possible without surrendering the two things a laboratory cannot give up: safety and reproducibility.</w:t>
      </w:r>
    </w:p>
    <w:p w14:paraId="78612317" w14:textId="39670853" w:rsidR="00641732" w:rsidRDefault="00000000">
      <w:r>
        <w:t>The central design decision is a single, sharp separation of responsibilities. An AI layer interprets intent and proposes a plan; a separate, deterministic layer validates that plan against hard constraints and is the only thing permitted to drive hardware. The AI is a co-pilot and a compiler</w:t>
      </w:r>
      <w:r w:rsidR="00A22979">
        <w:t>,</w:t>
      </w:r>
      <w:r>
        <w:t xml:space="preserve"> it turns words into a checkable experiment recipe</w:t>
      </w:r>
      <w:r w:rsidR="00A22979">
        <w:t>,</w:t>
      </w:r>
      <w:r>
        <w:t xml:space="preserve"> never an autopilot wired directly to the instruments. Every physical run is approved by a qualified human before it executes, and independent hardware interlocks remain the ultimate safety floor beneath all software.</w:t>
      </w:r>
    </w:p>
    <w:p w14:paraId="418C13FB" w14:textId="77777777" w:rsidR="00641732" w:rsidRDefault="00000000">
      <w:r>
        <w:t>The result is a method that generalises across instruments and labs, and that can be adopted incrementally: the system becomes useful, scriptable and reproducible before any AI is introduced, and the AI is added last, where its blast radius is smallest.</w:t>
      </w:r>
    </w:p>
    <w:p w14:paraId="35E749F1" w14:textId="77777777" w:rsidR="00641732" w:rsidRDefault="00000000">
      <w:pPr>
        <w:pStyle w:val="Heading1"/>
      </w:pPr>
      <w:r>
        <w:t>2.  The problem, and why the naïve version is dangerous</w:t>
      </w:r>
    </w:p>
    <w:p w14:paraId="4BAAF2E3" w14:textId="603C5C0E" w:rsidR="00641732" w:rsidRDefault="00000000">
      <w:r>
        <w:t>The naïve implementation</w:t>
      </w:r>
      <w:r w:rsidR="00A22979">
        <w:t>,</w:t>
      </w:r>
      <w:r>
        <w:t xml:space="preserve"> let the AI call the hardware directly through a set of device functions</w:t>
      </w:r>
      <w:r w:rsidR="00A22979">
        <w:t>,</w:t>
      </w:r>
      <w:r>
        <w:t xml:space="preserve"> is unsafe for a simple reason: a large language model is non-deterministic and occasionally, confidently wrong. The moment its output can directly actuate an instrument (open a shutter, fire a beam, drive a stage into its limits), a probabilistic component sits inside a safety-critical control path. No amount of prompt engineering removes that risk; it has to be removed architecturally.</w:t>
      </w:r>
    </w:p>
    <w:p w14:paraId="7834CB5F" w14:textId="77777777" w:rsidR="00641732" w:rsidRDefault="00000000">
      <w:r>
        <w:t>This proposal keeps the model strictly outside the safety loop. The sections below give the principles, the architecture, the lifecycle of a single experiment, the industry precedents that validate the approach, the residual risks, and a phased plan to build it.</w:t>
      </w:r>
    </w:p>
    <w:p w14:paraId="1C6B04B5" w14:textId="77777777" w:rsidR="00641732" w:rsidRDefault="00000000">
      <w:pPr>
        <w:pStyle w:val="Heading1"/>
      </w:pPr>
      <w:r>
        <w:t>3.  Four load-bearing principles</w:t>
      </w:r>
    </w:p>
    <w:p w14:paraId="50A05DB5" w14:textId="77777777" w:rsidR="00641732" w:rsidRDefault="00000000">
      <w:r>
        <w:t>Everything in the architecture follows from four principles. If a future design decision conflicts with one of these, the decision is wrong.</w:t>
      </w:r>
    </w:p>
    <w:p w14:paraId="3337CD4F" w14:textId="77777777" w:rsidR="0064173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E115AB" wp14:editId="400923F4">
            <wp:extent cx="5669280" cy="25637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rincip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2065" w14:textId="77777777" w:rsidR="00641732" w:rsidRDefault="00000000">
      <w:pPr>
        <w:spacing w:after="200"/>
        <w:jc w:val="center"/>
      </w:pPr>
      <w:r>
        <w:rPr>
          <w:i/>
          <w:color w:val="666666"/>
          <w:sz w:val="18"/>
        </w:rPr>
        <w:t>Figure 1 — The four principles that constrain every design choice.</w:t>
      </w:r>
    </w:p>
    <w:p w14:paraId="7803B494" w14:textId="77777777" w:rsidR="00641732" w:rsidRDefault="00000000">
      <w:pPr>
        <w:pStyle w:val="ListBullet"/>
        <w:spacing w:after="60"/>
      </w:pPr>
      <w:r>
        <w:rPr>
          <w:b/>
        </w:rPr>
        <w:t>The AI proposes, the deterministic layer disposes:</w:t>
      </w:r>
      <w:r>
        <w:t xml:space="preserve"> no probabilistic component may sit in the safety-critical actuation path.</w:t>
      </w:r>
    </w:p>
    <w:p w14:paraId="41339591" w14:textId="77777777" w:rsidR="00641732" w:rsidRDefault="00000000">
      <w:pPr>
        <w:pStyle w:val="ListBullet"/>
        <w:spacing w:after="60"/>
      </w:pPr>
      <w:r>
        <w:rPr>
          <w:b/>
        </w:rPr>
        <w:t>The AI's output is untrusted input:</w:t>
      </w:r>
      <w:r>
        <w:t xml:space="preserve"> a model-authored plan is validated exactly as strictly as a plan a human typed by hand. The gateway trusts the validation, not the author.</w:t>
      </w:r>
    </w:p>
    <w:p w14:paraId="72FDA2A1" w14:textId="77777777" w:rsidR="00641732" w:rsidRDefault="00000000">
      <w:pPr>
        <w:pStyle w:val="ListBullet"/>
        <w:spacing w:after="60"/>
      </w:pPr>
      <w:r>
        <w:rPr>
          <w:b/>
        </w:rPr>
        <w:t>The model authors intent, not trajectories:</w:t>
      </w:r>
      <w:r>
        <w:t xml:space="preserve"> the model chooses what to do; the expansion of that intent into concrete motion, timing and device commands happens below the trust boundary, deterministically.</w:t>
      </w:r>
    </w:p>
    <w:p w14:paraId="0754FB38" w14:textId="77777777" w:rsidR="00641732" w:rsidRDefault="00000000">
      <w:pPr>
        <w:pStyle w:val="ListBullet"/>
        <w:spacing w:after="60"/>
      </w:pPr>
      <w:r>
        <w:rPr>
          <w:b/>
        </w:rPr>
        <w:t>Value before AI:</w:t>
      </w:r>
      <w:r>
        <w:t xml:space="preserve"> the system is built bottom-up and is useful, safe and reproducible before the AI exists. The AI is an enhancement, not a prerequisite.</w:t>
      </w:r>
    </w:p>
    <w:p w14:paraId="62364911" w14:textId="77777777" w:rsidR="00641732" w:rsidRDefault="00000000">
      <w:pPr>
        <w:pStyle w:val="Heading1"/>
      </w:pPr>
      <w:r>
        <w:t>4.  Reference architecture</w:t>
      </w:r>
    </w:p>
    <w:p w14:paraId="579DF414" w14:textId="7D2272BE" w:rsidR="00641732" w:rsidRDefault="00000000">
      <w:r>
        <w:t>The system is a layered pipeline. Natural-language intent enters at the top and flows downward toward hardware, crossing exactly one trust boundary. Above the boundary everything is probabilistic and untrusted; below it everything is deterministic and is the system of record. The same shape applies to any instrument</w:t>
      </w:r>
      <w:r w:rsidR="00A22979">
        <w:t xml:space="preserve">, </w:t>
      </w:r>
      <w:r>
        <w:t>only the drivers at the bottom change.</w:t>
      </w:r>
    </w:p>
    <w:p w14:paraId="61A99A7A" w14:textId="77777777" w:rsidR="0064173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B51198" wp14:editId="7270D8C5">
            <wp:extent cx="4572000" cy="46280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2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13C9" w14:textId="77777777" w:rsidR="00641732" w:rsidRDefault="00000000">
      <w:pPr>
        <w:spacing w:after="200"/>
        <w:jc w:val="center"/>
      </w:pPr>
      <w:r>
        <w:rPr>
          <w:i/>
          <w:color w:val="666666"/>
          <w:sz w:val="18"/>
        </w:rPr>
        <w:t>Figure 2 — The layered reference architecture. The trust boundary sits between the AI-authored specification (L4) and the deterministic gateway (L3).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641732" w14:paraId="1655949D" w14:textId="77777777">
        <w:trPr>
          <w:jc w:val="center"/>
        </w:trPr>
        <w:tc>
          <w:tcPr>
            <w:tcW w:w="8640" w:type="dxa"/>
            <w:shd w:val="clear" w:color="auto" w:fill="EAF1FA"/>
          </w:tcPr>
          <w:p w14:paraId="5F3BDB36" w14:textId="77777777" w:rsidR="00641732" w:rsidRDefault="00000000">
            <w:pPr>
              <w:spacing w:before="80" w:after="80"/>
            </w:pPr>
            <w:r>
              <w:rPr>
                <w:b/>
                <w:color w:val="2F5A93"/>
                <w:sz w:val="19"/>
              </w:rPr>
              <w:t xml:space="preserve">Worked example —  </w:t>
            </w:r>
            <w:r>
              <w:rPr>
                <w:i/>
                <w:color w:val="333333"/>
                <w:sz w:val="19"/>
              </w:rPr>
              <w:t>On a two-photon laser-printing rig (a motion stage plus a controlled-energy source), the bottom drivers wrap the stage controller and the laser API; everything above them is identical to what it would be for a different instrument. The architecture is the product; the rig is just one tenant of it.</w:t>
            </w:r>
          </w:p>
        </w:tc>
      </w:tr>
    </w:tbl>
    <w:p w14:paraId="6C331762" w14:textId="77777777" w:rsidR="00641732" w:rsidRDefault="00641732">
      <w:pPr>
        <w:spacing w:after="40"/>
      </w:pPr>
    </w:p>
    <w:p w14:paraId="7F150E52" w14:textId="77777777" w:rsidR="00641732" w:rsidRDefault="00000000">
      <w:pPr>
        <w:pStyle w:val="Heading1"/>
      </w:pPr>
      <w:r>
        <w:t>5.  What each layer does</w:t>
      </w:r>
    </w:p>
    <w:p w14:paraId="65D36C6D" w14:textId="77777777" w:rsidR="00641732" w:rsidRDefault="00000000">
      <w:pPr>
        <w:pStyle w:val="ListBullet"/>
        <w:spacing w:after="60"/>
      </w:pPr>
      <w:r>
        <w:rPr>
          <w:b/>
        </w:rPr>
        <w:t>L6 — Conversational interface:</w:t>
      </w:r>
      <w:r>
        <w:t xml:space="preserve"> the chat / text surface. Captures the user's intent and identity, shows the proposed plan with its predicted effects and risk, and streams live status during a run.</w:t>
      </w:r>
    </w:p>
    <w:p w14:paraId="7AF38F8D" w14:textId="77777777" w:rsidR="00641732" w:rsidRDefault="00000000">
      <w:pPr>
        <w:pStyle w:val="ListBullet"/>
        <w:spacing w:after="60"/>
      </w:pPr>
      <w:r>
        <w:rPr>
          <w:b/>
        </w:rPr>
        <w:t>L5 — AI planning &amp; reasoning:</w:t>
      </w:r>
      <w:r>
        <w:t xml:space="preserve"> interprets intent, retrieves grounding (available capabilities, current device state, constraints, the user's role), and synthesises a plan together with a plain-language explanation. It emits a specification and never actuates hardware.</w:t>
      </w:r>
    </w:p>
    <w:p w14:paraId="6CD6FB06" w14:textId="77777777" w:rsidR="00641732" w:rsidRDefault="00000000">
      <w:pPr>
        <w:pStyle w:val="ListBullet"/>
        <w:spacing w:after="60"/>
      </w:pPr>
      <w:r>
        <w:rPr>
          <w:b/>
        </w:rPr>
        <w:t>L4 — Experiment specification:</w:t>
      </w:r>
      <w:r>
        <w:t xml:space="preserve"> a declarative, versioned, serialisable recipe — the single artifact that crosses the trust boundary, and the keystone of the design (see §7).</w:t>
      </w:r>
    </w:p>
    <w:p w14:paraId="0E68F71D" w14:textId="77777777" w:rsidR="00641732" w:rsidRDefault="00000000">
      <w:pPr>
        <w:pStyle w:val="ListBullet"/>
        <w:spacing w:after="60"/>
      </w:pPr>
      <w:r>
        <w:rPr>
          <w:b/>
        </w:rPr>
        <w:t>L3 — API-Gate / orchestration core:</w:t>
      </w:r>
      <w:r>
        <w:t xml:space="preserve"> the deterministic core — this is the “API-Gate.” It holds identity and role-based access control, the validation &amp; policy engine, the dry-run simulator, the </w:t>
      </w:r>
      <w:r>
        <w:lastRenderedPageBreak/>
        <w:t>scheduler and device-state manager, the execution engine that expands intent into timed commands (and owns device synchronisation), and the immutable audit log.</w:t>
      </w:r>
    </w:p>
    <w:p w14:paraId="6BDCD698" w14:textId="77777777" w:rsidR="00641732" w:rsidRDefault="00000000">
      <w:pPr>
        <w:pStyle w:val="ListBullet"/>
        <w:spacing w:after="60"/>
      </w:pPr>
      <w:r>
        <w:rPr>
          <w:b/>
        </w:rPr>
        <w:t>L2 — Device abstraction layer:</w:t>
      </w:r>
      <w:r>
        <w:t xml:space="preserve"> one adapter per device, each exposing capabilities with declared parameters, units, bounds and pre/postconditions. Capability bounds live here, close to the hardware they protect.</w:t>
      </w:r>
    </w:p>
    <w:p w14:paraId="122174DD" w14:textId="77777777" w:rsidR="00641732" w:rsidRDefault="00000000">
      <w:pPr>
        <w:pStyle w:val="ListBullet"/>
        <w:spacing w:after="60"/>
      </w:pPr>
      <w:r>
        <w:rPr>
          <w:b/>
        </w:rPr>
        <w:t>L1 / L0 — Controllers &amp; independent safety:</w:t>
      </w:r>
      <w:r>
        <w:t xml:space="preserve"> device controllers/firmware, and — beneath everything — independent hardware safety (e-stop, shutter/key, enclosure interlock) that software cannot override. This is the true safety floor.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641732" w14:paraId="4671A0D6" w14:textId="77777777">
        <w:trPr>
          <w:jc w:val="center"/>
        </w:trPr>
        <w:tc>
          <w:tcPr>
            <w:tcW w:w="8640" w:type="dxa"/>
            <w:shd w:val="clear" w:color="auto" w:fill="EAF1FA"/>
          </w:tcPr>
          <w:p w14:paraId="288D0E7D" w14:textId="77777777" w:rsidR="00641732" w:rsidRDefault="00000000">
            <w:pPr>
              <w:spacing w:before="80" w:after="80"/>
            </w:pPr>
            <w:r>
              <w:rPr>
                <w:b/>
                <w:color w:val="2F5A93"/>
                <w:sz w:val="19"/>
              </w:rPr>
              <w:t xml:space="preserve">Worked example —  </w:t>
            </w:r>
            <w:r>
              <w:rPr>
                <w:i/>
                <w:color w:val="333333"/>
                <w:sz w:val="19"/>
              </w:rPr>
              <w:t>A hard, unsolved problem on a real rig — synchronising stage motion with the energy source so exposure is consistent — lives entirely inside the L3 execution engine, a deterministic component. The AI says “write this line at this power and speed”; it never decides when the shutter opens relative to acceleration. The architecture quarantines the hard timing problem in one tested place, and the AI cannot make it worse.</w:t>
            </w:r>
          </w:p>
        </w:tc>
      </w:tr>
    </w:tbl>
    <w:p w14:paraId="1033F9E7" w14:textId="77777777" w:rsidR="00641732" w:rsidRDefault="00641732">
      <w:pPr>
        <w:spacing w:after="40"/>
      </w:pPr>
    </w:p>
    <w:p w14:paraId="3506C353" w14:textId="77777777" w:rsidR="00641732" w:rsidRDefault="00000000">
      <w:pPr>
        <w:pStyle w:val="Heading1"/>
      </w:pPr>
      <w:r>
        <w:t>6.  Lifecycle of a single experiment</w:t>
      </w:r>
    </w:p>
    <w:p w14:paraId="5F8007AA" w14:textId="77777777" w:rsidR="00641732" w:rsidRDefault="00000000">
      <w:r>
        <w:t>Every experiment follows the same seven steps. The AI participates in exactly one of them (step 2). Everything after the trust boundary is deterministic, and a human gates the transition from plan to physical action.</w:t>
      </w:r>
    </w:p>
    <w:p w14:paraId="4DB2EDA8" w14:textId="77777777" w:rsidR="00641732" w:rsidRDefault="00000000">
      <w:pPr>
        <w:jc w:val="center"/>
      </w:pPr>
      <w:r>
        <w:rPr>
          <w:noProof/>
        </w:rPr>
        <w:drawing>
          <wp:inline distT="0" distB="0" distL="0" distR="0" wp14:anchorId="6E38F4A0" wp14:editId="1A0D9018">
            <wp:extent cx="5852160" cy="2208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ifecyc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2B42" w14:textId="77777777" w:rsidR="00641732" w:rsidRDefault="00000000">
      <w:pPr>
        <w:spacing w:after="200"/>
        <w:jc w:val="center"/>
      </w:pPr>
      <w:r>
        <w:rPr>
          <w:i/>
          <w:color w:val="666666"/>
          <w:sz w:val="18"/>
        </w:rPr>
        <w:t>Figure 3 — From intent to audited result. The recipe produced in step 2 is re-runnable later without the AI.</w:t>
      </w:r>
    </w:p>
    <w:p w14:paraId="0C0C6C08" w14:textId="77777777" w:rsidR="00641732" w:rsidRDefault="00000000">
      <w:pPr>
        <w:pStyle w:val="Heading1"/>
      </w:pPr>
      <w:r>
        <w:t>7.  The keystone: a declarative experiment specification</w:t>
      </w:r>
    </w:p>
    <w:p w14:paraId="53991558" w14:textId="77777777" w:rsidR="00641732" w:rsidRDefault="00000000">
      <w:r>
        <w:t>Forcing the AI to emit a declarative recipe — rather than call hardware — buys four properties at once: reproducibility (re-run the file), auditability (diff and store the file), safety review (validate the file), and a clean approval target (a human approves a document, not a black box). The same trick underlies declarative protocol languages in lab automation.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1732" w14:paraId="24B4ECD9" w14:textId="77777777">
        <w:tc>
          <w:tcPr>
            <w:tcW w:w="8640" w:type="dxa"/>
            <w:shd w:val="clear" w:color="auto" w:fill="F4F4F4"/>
          </w:tcPr>
          <w:p w14:paraId="32D4B1C7" w14:textId="77777777" w:rsidR="00641732" w:rsidRDefault="00000000">
            <w:r>
              <w:rPr>
                <w:rFonts w:ascii="Consolas" w:hAnsi="Consolas"/>
                <w:color w:val="2A2A2A"/>
                <w:sz w:val="18"/>
              </w:rPr>
              <w:t>experiment:</w:t>
            </w:r>
            <w:r>
              <w:rPr>
                <w:rFonts w:ascii="Consolas" w:hAnsi="Consolas"/>
                <w:color w:val="2A2A2A"/>
                <w:sz w:val="18"/>
              </w:rPr>
              <w:br/>
              <w:t xml:space="preserve">  author: alice        # proposer (role: operator)</w:t>
            </w:r>
            <w:r>
              <w:rPr>
                <w:rFonts w:ascii="Consolas" w:hAnsi="Consolas"/>
                <w:color w:val="2A2A2A"/>
                <w:sz w:val="18"/>
              </w:rPr>
              <w:br/>
              <w:t xml:space="preserve">  operations:</w:t>
            </w:r>
            <w:r>
              <w:rPr>
                <w:rFonts w:ascii="Consolas" w:hAnsi="Consolas"/>
                <w:color w:val="2A2A2A"/>
                <w:sz w:val="18"/>
              </w:rPr>
              <w:br/>
            </w:r>
            <w:r>
              <w:rPr>
                <w:rFonts w:ascii="Consolas" w:hAnsi="Consolas"/>
                <w:color w:val="2A2A2A"/>
                <w:sz w:val="18"/>
              </w:rPr>
              <w:lastRenderedPageBreak/>
              <w:t xml:space="preserve">    - write_array:</w:t>
            </w:r>
            <w:r>
              <w:rPr>
                <w:rFonts w:ascii="Consolas" w:hAnsi="Consolas"/>
                <w:color w:val="2A2A2A"/>
                <w:sz w:val="18"/>
              </w:rPr>
              <w:br/>
              <w:t xml:space="preserve">        rows: 10  cols: 10  pitch_um: 5</w:t>
            </w:r>
            <w:r>
              <w:rPr>
                <w:rFonts w:ascii="Consolas" w:hAnsi="Consolas"/>
                <w:color w:val="2A2A2A"/>
                <w:sz w:val="18"/>
              </w:rPr>
              <w:br/>
              <w:t xml:space="preserve">        power_sweep: [8, 16]   speed_sweep: [4, 6]</w:t>
            </w:r>
            <w:r>
              <w:rPr>
                <w:rFonts w:ascii="Consolas" w:hAnsi="Consolas"/>
                <w:color w:val="2A2A2A"/>
                <w:sz w:val="18"/>
              </w:rPr>
              <w:br/>
              <w:t xml:space="preserve">  # high-level INTENT only — no raw motion, no timing</w:t>
            </w:r>
          </w:p>
        </w:tc>
      </w:tr>
    </w:tbl>
    <w:p w14:paraId="4BEEF43C" w14:textId="77777777" w:rsidR="00641732" w:rsidRDefault="00000000">
      <w:pPr>
        <w:spacing w:after="200"/>
        <w:jc w:val="center"/>
      </w:pPr>
      <w:r>
        <w:rPr>
          <w:i/>
          <w:color w:val="666666"/>
          <w:sz w:val="18"/>
        </w:rPr>
        <w:lastRenderedPageBreak/>
        <w:t>Illustrative specification — small, human-readable, declarative. The gateway expands it into device commands; the model never writes trajectories.</w:t>
      </w:r>
    </w:p>
    <w:p w14:paraId="291C6C81" w14:textId="77777777" w:rsidR="00641732" w:rsidRDefault="00000000">
      <w:r>
        <w:t>A note on a real design choice: an alternative is to have the AI pre-resolve the full toolpath into the spec (every segment explicit). That is more auditable, but it moves motion-authoring above the trust boundary, where a probabilistic component should not be. We therefore keep expansion deterministic and below the boundary; the explicit-toolpath variant is noted only as a considered alternative.</w:t>
      </w:r>
    </w:p>
    <w:p w14:paraId="427B4803" w14:textId="77777777" w:rsidR="00641732" w:rsidRDefault="00000000">
      <w:pPr>
        <w:pStyle w:val="Heading1"/>
      </w:pPr>
      <w:r>
        <w:t>8.  Human-in-the-loop and roles</w:t>
      </w:r>
    </w:p>
    <w:p w14:paraId="0E8668F2" w14:textId="77777777" w:rsidR="00641732" w:rsidRDefault="00000000">
      <w:r>
        <w:t>Every physical run is approved before it executes (a co-pilot model), and the proposer and the approver are deliberately separate roles. Non-experts may converse with the AI and propose experiments; only a qualified, safety-signed-off user may approve execution. Identity and role-based access control therefore live in the gateway as first-class features, not as an afterthought.</w:t>
      </w:r>
    </w:p>
    <w:p w14:paraId="5574B4D3" w14:textId="77777777" w:rsidR="00641732" w:rsidRDefault="00000000">
      <w:r>
        <w:t>The approver is shown the proposed recipe, the validation result, the dry-run prediction (toolpath, time, exposure) and a risk summary — enough to give informed consent rather than a reflexive click. Guarding against automation complacency is itself a design requirement of the approval interface.</w:t>
      </w:r>
    </w:p>
    <w:p w14:paraId="7949E33B" w14:textId="77777777" w:rsidR="00641732" w:rsidRDefault="00000000">
      <w:pPr>
        <w:pStyle w:val="Heading1"/>
      </w:pPr>
      <w:r>
        <w:t>9.  Industry grounding</w:t>
      </w:r>
    </w:p>
    <w:p w14:paraId="229F53CF" w14:textId="77777777" w:rsidR="00641732" w:rsidRDefault="00000000">
      <w:r>
        <w:t>This architecture is not speculative; each layer corresponds to an established standard or precedent. The proposal aligns with, rather than reinvents, the following: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1732" w14:paraId="50A3BAC6" w14:textId="77777777" w:rsidTr="00641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F5A93"/>
          </w:tcPr>
          <w:p w14:paraId="555EEBF6" w14:textId="77777777" w:rsidR="00641732" w:rsidRDefault="00000000">
            <w:r>
              <w:rPr>
                <w:color w:val="FFFFFF"/>
                <w:sz w:val="19"/>
              </w:rPr>
              <w:t>Concern</w:t>
            </w:r>
          </w:p>
        </w:tc>
        <w:tc>
          <w:tcPr>
            <w:tcW w:w="4320" w:type="dxa"/>
            <w:shd w:val="clear" w:color="auto" w:fill="2F5A93"/>
          </w:tcPr>
          <w:p w14:paraId="358F2C50" w14:textId="77777777" w:rsidR="006417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Established standard / precedent</w:t>
            </w:r>
          </w:p>
        </w:tc>
      </w:tr>
      <w:tr w:rsidR="00641732" w14:paraId="688CF0D2" w14:textId="77777777" w:rsidTr="00641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41233C" w14:textId="77777777" w:rsidR="00641732" w:rsidRDefault="00000000">
            <w:r>
              <w:rPr>
                <w:sz w:val="19"/>
              </w:rPr>
              <w:t>Device interfaces &amp; abstraction</w:t>
            </w:r>
          </w:p>
        </w:tc>
        <w:tc>
          <w:tcPr>
            <w:tcW w:w="4320" w:type="dxa"/>
          </w:tcPr>
          <w:p w14:paraId="41F17E74" w14:textId="77777777" w:rsidR="00641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SiLA 2; OPC-UA / LADS companion spec</w:t>
            </w:r>
          </w:p>
        </w:tc>
      </w:tr>
      <w:tr w:rsidR="00641732" w14:paraId="7D179F11" w14:textId="77777777" w:rsidTr="00641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FF897A" w14:textId="77777777" w:rsidR="00641732" w:rsidRDefault="00000000">
            <w:r>
              <w:rPr>
                <w:sz w:val="19"/>
              </w:rPr>
              <w:t>Declarative experiment protocols</w:t>
            </w:r>
          </w:p>
        </w:tc>
        <w:tc>
          <w:tcPr>
            <w:tcW w:w="4320" w:type="dxa"/>
          </w:tcPr>
          <w:p w14:paraId="4349B0FC" w14:textId="77777777" w:rsidR="00641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Autoprotocol; Antha (lab-automation recipe languages)</w:t>
            </w:r>
          </w:p>
        </w:tc>
      </w:tr>
      <w:tr w:rsidR="00641732" w14:paraId="237F22B1" w14:textId="77777777" w:rsidTr="00641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3E591F" w14:textId="77777777" w:rsidR="00641732" w:rsidRDefault="00000000">
            <w:r>
              <w:rPr>
                <w:sz w:val="19"/>
              </w:rPr>
              <w:t>Layered control hierarchy</w:t>
            </w:r>
          </w:p>
        </w:tc>
        <w:tc>
          <w:tcPr>
            <w:tcW w:w="4320" w:type="dxa"/>
          </w:tcPr>
          <w:p w14:paraId="08EDBD2D" w14:textId="77777777" w:rsidR="00641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ISA-95 / the Purdue model (planning never bypasses control)</w:t>
            </w:r>
          </w:p>
        </w:tc>
      </w:tr>
      <w:tr w:rsidR="00641732" w14:paraId="2ED37F03" w14:textId="77777777" w:rsidTr="00641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62B4BE" w14:textId="77777777" w:rsidR="00641732" w:rsidRDefault="00000000">
            <w:r>
              <w:rPr>
                <w:sz w:val="19"/>
              </w:rPr>
              <w:t>Laser &amp; functional safety</w:t>
            </w:r>
          </w:p>
        </w:tc>
        <w:tc>
          <w:tcPr>
            <w:tcW w:w="4320" w:type="dxa"/>
          </w:tcPr>
          <w:p w14:paraId="68BCD20F" w14:textId="77777777" w:rsidR="00641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IEC 60825 (laser safety); IEC 61508 / ISO 13849</w:t>
            </w:r>
          </w:p>
        </w:tc>
      </w:tr>
      <w:tr w:rsidR="00641732" w14:paraId="7829E711" w14:textId="77777777" w:rsidTr="00641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BC6FB5" w14:textId="77777777" w:rsidR="00641732" w:rsidRDefault="00000000">
            <w:r>
              <w:rPr>
                <w:sz w:val="19"/>
              </w:rPr>
              <w:t>AI driving real lab hardware</w:t>
            </w:r>
          </w:p>
        </w:tc>
        <w:tc>
          <w:tcPr>
            <w:tcW w:w="4320" w:type="dxa"/>
          </w:tcPr>
          <w:p w14:paraId="12162F86" w14:textId="77777777" w:rsidR="00641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Coscientist (Nature 2023); Berkeley A-Lab; Emerald Cloud Lab</w:t>
            </w:r>
          </w:p>
        </w:tc>
      </w:tr>
      <w:tr w:rsidR="00641732" w14:paraId="2F049022" w14:textId="77777777" w:rsidTr="00641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9281A4" w14:textId="77777777" w:rsidR="00641732" w:rsidRDefault="00000000">
            <w:r>
              <w:rPr>
                <w:sz w:val="19"/>
              </w:rPr>
              <w:t>AI tool boundary &amp; schemas</w:t>
            </w:r>
          </w:p>
        </w:tc>
        <w:tc>
          <w:tcPr>
            <w:tcW w:w="4320" w:type="dxa"/>
          </w:tcPr>
          <w:p w14:paraId="61846431" w14:textId="77777777" w:rsidR="00641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Model Context Protocol (MCP); function-calling; HITL guardrails</w:t>
            </w:r>
          </w:p>
        </w:tc>
      </w:tr>
    </w:tbl>
    <w:p w14:paraId="5D1A2425" w14:textId="77777777" w:rsidR="00641732" w:rsidRDefault="00641732">
      <w:pPr>
        <w:spacing w:after="40"/>
      </w:pPr>
    </w:p>
    <w:p w14:paraId="4EE97755" w14:textId="77777777" w:rsidR="00641732" w:rsidRDefault="00000000">
      <w:r>
        <w:rPr>
          <w:color w:val="666666"/>
          <w:sz w:val="19"/>
        </w:rPr>
        <w:t xml:space="preserve">A concrete implementation note: because each capability is a strictly-schema'd tool and the gateway enforces policy, the trust boundary maps almost one-to-one onto the Model Context Protocol — the gateway becomes </w:t>
      </w:r>
      <w:r>
        <w:rPr>
          <w:color w:val="666666"/>
          <w:sz w:val="19"/>
        </w:rPr>
        <w:lastRenderedPageBreak/>
        <w:t>an MCP server, each capability an MCP tool. This gives a modern, well-supported way to build the boundary instead of a bespoke layer.</w:t>
      </w:r>
    </w:p>
    <w:p w14:paraId="6D93D430" w14:textId="77777777" w:rsidR="00641732" w:rsidRDefault="00000000">
      <w:pPr>
        <w:pStyle w:val="Heading1"/>
      </w:pPr>
      <w:r>
        <w:t>10.  Risks and mitigations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1732" w14:paraId="5D694AC1" w14:textId="77777777" w:rsidTr="00641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B23B3B"/>
          </w:tcPr>
          <w:p w14:paraId="5B402D3F" w14:textId="77777777" w:rsidR="00641732" w:rsidRDefault="00000000">
            <w:r>
              <w:rPr>
                <w:color w:val="FFFFFF"/>
                <w:sz w:val="19"/>
              </w:rPr>
              <w:t>Risk</w:t>
            </w:r>
          </w:p>
        </w:tc>
        <w:tc>
          <w:tcPr>
            <w:tcW w:w="4320" w:type="dxa"/>
            <w:shd w:val="clear" w:color="auto" w:fill="B23B3B"/>
          </w:tcPr>
          <w:p w14:paraId="4814B4CF" w14:textId="77777777" w:rsidR="006417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Mitigation (architectural)</w:t>
            </w:r>
          </w:p>
        </w:tc>
      </w:tr>
      <w:tr w:rsidR="00641732" w14:paraId="728D9FAD" w14:textId="77777777" w:rsidTr="00641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65BAFC" w14:textId="77777777" w:rsidR="00641732" w:rsidRDefault="00000000">
            <w:r>
              <w:rPr>
                <w:sz w:val="19"/>
              </w:rPr>
              <w:t>LLM hallucination / wrong plan</w:t>
            </w:r>
          </w:p>
        </w:tc>
        <w:tc>
          <w:tcPr>
            <w:tcW w:w="4320" w:type="dxa"/>
          </w:tcPr>
          <w:p w14:paraId="78C32C76" w14:textId="77777777" w:rsidR="00641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Deterministic validation engine + mandatory human approval; the AI cannot actuate.</w:t>
            </w:r>
          </w:p>
        </w:tc>
      </w:tr>
      <w:tr w:rsidR="00641732" w14:paraId="11674DE5" w14:textId="77777777" w:rsidTr="00641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33B6F2" w14:textId="77777777" w:rsidR="00641732" w:rsidRDefault="00000000">
            <w:r>
              <w:rPr>
                <w:sz w:val="19"/>
              </w:rPr>
              <w:t>Prompt injection / adversarial intent</w:t>
            </w:r>
          </w:p>
        </w:tc>
        <w:tc>
          <w:tcPr>
            <w:tcW w:w="4320" w:type="dxa"/>
          </w:tcPr>
          <w:p w14:paraId="60FE2892" w14:textId="77777777" w:rsidR="00641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AI output treated as untrusted input; RBAC; hard bounds enforced in the gateway, not the prompt.</w:t>
            </w:r>
          </w:p>
        </w:tc>
      </w:tr>
      <w:tr w:rsidR="00641732" w14:paraId="69B65FCD" w14:textId="77777777" w:rsidTr="00641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241066" w14:textId="77777777" w:rsidR="00641732" w:rsidRDefault="00000000">
            <w:r>
              <w:rPr>
                <w:sz w:val="19"/>
              </w:rPr>
              <w:t>Automation complacency (rubber-stamping)</w:t>
            </w:r>
          </w:p>
        </w:tc>
        <w:tc>
          <w:tcPr>
            <w:tcW w:w="4320" w:type="dxa"/>
          </w:tcPr>
          <w:p w14:paraId="5995FA76" w14:textId="77777777" w:rsidR="00641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Approver UI shows dry-run prediction + risk, not just an “approve” button.</w:t>
            </w:r>
          </w:p>
        </w:tc>
      </w:tr>
      <w:tr w:rsidR="00641732" w14:paraId="7D0EB6EC" w14:textId="77777777" w:rsidTr="00641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61AA2" w14:textId="77777777" w:rsidR="00641732" w:rsidRDefault="00000000">
            <w:r>
              <w:rPr>
                <w:sz w:val="19"/>
              </w:rPr>
              <w:t>Spec drifts from hardware reality</w:t>
            </w:r>
          </w:p>
        </w:tc>
        <w:tc>
          <w:tcPr>
            <w:tcW w:w="4320" w:type="dxa"/>
          </w:tcPr>
          <w:p w14:paraId="77B8868D" w14:textId="77777777" w:rsidR="00641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Drivers are the single source of capability truth; device-state manager tracks live state.</w:t>
            </w:r>
          </w:p>
        </w:tc>
      </w:tr>
      <w:tr w:rsidR="00641732" w14:paraId="35E3DE4C" w14:textId="77777777" w:rsidTr="00641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8C648F" w14:textId="77777777" w:rsidR="00641732" w:rsidRDefault="00000000">
            <w:r>
              <w:rPr>
                <w:sz w:val="19"/>
              </w:rPr>
              <w:t>Non-deterministic / slow / costly model in the loop</w:t>
            </w:r>
          </w:p>
        </w:tc>
        <w:tc>
          <w:tcPr>
            <w:tcW w:w="4320" w:type="dxa"/>
          </w:tcPr>
          <w:p w14:paraId="7CFAA048" w14:textId="77777777" w:rsidR="00641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AI runs only at authoring time; execution is a deterministic engine with no model in the path.</w:t>
            </w:r>
          </w:p>
        </w:tc>
      </w:tr>
    </w:tbl>
    <w:p w14:paraId="01D3D1EB" w14:textId="77777777" w:rsidR="00641732" w:rsidRDefault="00000000">
      <w:pPr>
        <w:pStyle w:val="Heading1"/>
      </w:pPr>
      <w:r>
        <w:t>11.  Phased adoption roadmap</w:t>
      </w:r>
    </w:p>
    <w:p w14:paraId="3628E2B6" w14:textId="77777777" w:rsidR="00641732" w:rsidRDefault="00000000">
      <w:r>
        <w:t>The system is built bottom-up so that each phase delivers standalone value and the AI arrives last, where its risk is smallest. Crucially, after Phase B the lab already has a scriptable, reproducible, synchronisation-correct system — worth having even if the AI work stopped there.</w:t>
      </w:r>
    </w:p>
    <w:p w14:paraId="598E3EC1" w14:textId="77777777" w:rsidR="00641732" w:rsidRDefault="00000000">
      <w:pPr>
        <w:jc w:val="center"/>
      </w:pPr>
      <w:r>
        <w:rPr>
          <w:noProof/>
        </w:rPr>
        <w:drawing>
          <wp:inline distT="0" distB="0" distL="0" distR="0" wp14:anchorId="155DA6D6" wp14:editId="44D62979">
            <wp:extent cx="5852160" cy="26212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4C67" w14:textId="77777777" w:rsidR="00641732" w:rsidRDefault="00000000">
      <w:pPr>
        <w:spacing w:after="200"/>
        <w:jc w:val="center"/>
      </w:pPr>
      <w:r>
        <w:rPr>
          <w:i/>
          <w:color w:val="666666"/>
          <w:sz w:val="18"/>
        </w:rPr>
        <w:t>Figure 4 — Bottom-up adoption. Phases A–C deliver a safe, reproducible system before any AI; Phases D–E add planning; Phase F is deferred research.</w:t>
      </w:r>
    </w:p>
    <w:p w14:paraId="4321E089" w14:textId="77777777" w:rsidR="00641732" w:rsidRDefault="00000000">
      <w:pPr>
        <w:pStyle w:val="Heading1"/>
      </w:pPr>
      <w:r>
        <w:lastRenderedPageBreak/>
        <w:t>12.  Open questions for the team</w:t>
      </w:r>
    </w:p>
    <w:p w14:paraId="05AFCECD" w14:textId="77777777" w:rsidR="00641732" w:rsidRDefault="00000000">
      <w:pPr>
        <w:pStyle w:val="ListBullet"/>
        <w:spacing w:after="60"/>
      </w:pPr>
      <w:r>
        <w:rPr>
          <w:b/>
        </w:rPr>
        <w:t>Capability scope:</w:t>
      </w:r>
      <w:r>
        <w:t xml:space="preserve"> which existing operations become the first bounded capability vocabulary, and what are their declared safe envelopes?</w:t>
      </w:r>
    </w:p>
    <w:p w14:paraId="449D3895" w14:textId="77777777" w:rsidR="00641732" w:rsidRDefault="00000000">
      <w:pPr>
        <w:pStyle w:val="ListBullet"/>
        <w:spacing w:after="60"/>
      </w:pPr>
      <w:r>
        <w:rPr>
          <w:b/>
        </w:rPr>
        <w:t>Approval authority:</w:t>
      </w:r>
      <w:r>
        <w:t xml:space="preserve"> what is the formal mapping from user identity to “may propose” vs “may approve,” and who signs the safety training?</w:t>
      </w:r>
    </w:p>
    <w:p w14:paraId="5E90891D" w14:textId="77777777" w:rsidR="00641732" w:rsidRDefault="00000000">
      <w:pPr>
        <w:pStyle w:val="ListBullet"/>
        <w:spacing w:after="60"/>
      </w:pPr>
      <w:r>
        <w:rPr>
          <w:b/>
        </w:rPr>
        <w:t>Simulation fidelity:</w:t>
      </w:r>
      <w:r>
        <w:t xml:space="preserve"> how faithful must the dry-run / digital twin be before its prediction is trusted to inform approval?</w:t>
      </w:r>
    </w:p>
    <w:p w14:paraId="69E90755" w14:textId="77777777" w:rsidR="00641732" w:rsidRDefault="00000000">
      <w:pPr>
        <w:pStyle w:val="ListBullet"/>
        <w:spacing w:after="60"/>
      </w:pPr>
      <w:r>
        <w:rPr>
          <w:b/>
        </w:rPr>
        <w:t>Boundary technology:</w:t>
      </w:r>
      <w:r>
        <w:t xml:space="preserve"> build the gateway as an MCP server, or a bespoke service boundary? (MCP is recommended.)</w:t>
      </w:r>
    </w:p>
    <w:p w14:paraId="2BCB3401" w14:textId="77777777" w:rsidR="00641732" w:rsidRDefault="00000000">
      <w:pPr>
        <w:pStyle w:val="ListBullet"/>
        <w:spacing w:after="60"/>
      </w:pPr>
      <w:r>
        <w:rPr>
          <w:b/>
        </w:rPr>
        <w:t>Geometry handling:</w:t>
      </w:r>
      <w:r>
        <w:t xml:space="preserve"> confirm the explicit-toolpath alternative (§7) is not needed for any instrument before standardising on deterministic expansion.</w:t>
      </w:r>
    </w:p>
    <w:p w14:paraId="2D96C1F6" w14:textId="77777777" w:rsidR="00641732" w:rsidRDefault="00641732">
      <w:pPr>
        <w:pBdr>
          <w:bottom w:val="single" w:sz="6" w:space="1" w:color="BBBBBB"/>
        </w:pBdr>
        <w:spacing w:after="80"/>
      </w:pPr>
    </w:p>
    <w:p w14:paraId="0B9BCBAB" w14:textId="77777777" w:rsidR="00641732" w:rsidRDefault="00000000">
      <w:r>
        <w:rPr>
          <w:i/>
          <w:color w:val="666666"/>
          <w:sz w:val="18"/>
        </w:rPr>
        <w:t>Draft for discussion. Diagrams are generated programmatically and can be revised on request.</w:t>
      </w:r>
    </w:p>
    <w:sectPr w:rsidR="006417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694908">
    <w:abstractNumId w:val="8"/>
  </w:num>
  <w:num w:numId="2" w16cid:durableId="287709677">
    <w:abstractNumId w:val="6"/>
  </w:num>
  <w:num w:numId="3" w16cid:durableId="39526092">
    <w:abstractNumId w:val="5"/>
  </w:num>
  <w:num w:numId="4" w16cid:durableId="1040007803">
    <w:abstractNumId w:val="4"/>
  </w:num>
  <w:num w:numId="5" w16cid:durableId="190725344">
    <w:abstractNumId w:val="7"/>
  </w:num>
  <w:num w:numId="6" w16cid:durableId="915867287">
    <w:abstractNumId w:val="3"/>
  </w:num>
  <w:num w:numId="7" w16cid:durableId="677777334">
    <w:abstractNumId w:val="2"/>
  </w:num>
  <w:num w:numId="8" w16cid:durableId="404688679">
    <w:abstractNumId w:val="1"/>
  </w:num>
  <w:num w:numId="9" w16cid:durableId="17439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732"/>
    <w:rsid w:val="00791C8C"/>
    <w:rsid w:val="00A229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F6402"/>
  <w14:defaultImageDpi w14:val="300"/>
  <w15:docId w15:val="{F8259260-614D-C748-8AE5-B65A0BEB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A9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A9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Narek Meloyan</cp:lastModifiedBy>
  <cp:revision>2</cp:revision>
  <dcterms:created xsi:type="dcterms:W3CDTF">2013-12-23T23:15:00Z</dcterms:created>
  <dcterms:modified xsi:type="dcterms:W3CDTF">2026-06-29T22:39:00Z</dcterms:modified>
  <cp:category/>
</cp:coreProperties>
</file>