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Collagen Sponges Dataset</w:t>
      </w:r>
    </w:p>
    <w:p>
      <w:pPr>
        <w:jc w:val="center"/>
      </w:pPr>
      <w:r>
        <w:rPr>
          <w:i/>
          <w:color w:val="555555"/>
          <w:sz w:val="28"/>
        </w:rPr>
        <w:t>Spectral-Select Framework: Methodology, Results, and SOTA Comparison</w:t>
      </w:r>
    </w:p>
    <w:p/>
    <w:p>
      <w:pPr>
        <w:pStyle w:val="Heading1"/>
      </w:pPr>
      <w:r>
        <w:rPr>
          <w:color w:val="1F4E79"/>
        </w:rPr>
        <w:t>1. Introduction</w:t>
      </w:r>
    </w:p>
    <w:p>
      <w:r>
        <w:rPr>
          <w:sz w:val="22"/>
        </w:rPr>
        <w:t>The Collagen Sponges dataset is the secondary supervised benchmark of the spectral-select framework. It comprises ME-HSI acquisitions of collagen sponge samples prepared at three distinct crosslinker concentrations. Collagen autofluorescence in the near-UV/blue range is a well-established structural biomarker, and crosslinker concentration directly modulates the supramolecular organization of collagen fibrils, producing measurable shifts in both emission peak position and intensity.</w:t>
      </w:r>
    </w:p>
    <w:p>
      <w:r>
        <w:rPr>
          <w:sz w:val="22"/>
        </w:rPr>
        <w:t>The dataset tests whether the framework, tuned on lichen biology, transfers to a chemically distinct fluorophore family without modification. Spectral coverage is different (6 excitations vs 8), the class structure is different (3 chemical concentrations vs 4 morphological types), and the spatial layout is different (small sponge fragments vs lichen specimens). A successful transfer is therefore evidence of broader applicability.</w:t>
      </w:r>
    </w:p>
    <w:p>
      <w:pPr>
        <w:pStyle w:val="Heading1"/>
      </w:pPr>
      <w:r>
        <w:rPr>
          <w:color w:val="1F4E79"/>
        </w:rPr>
        <w:t>2. Sample and Acquisition</w:t>
      </w:r>
    </w:p>
    <w:p>
      <w:r>
        <w:rPr>
          <w:sz w:val="22"/>
        </w:rPr>
        <w:t>Collagen sponges were prepared with three different crosslinker concentrations to induce distinct structural states. Each sample was imaged with the same Nuance FX system used for Lichens, but with a narrower excitation range (310-400 nm) chosen after preliminary tests showed that longer-UV excitations (415, 430 nm) added negligible discriminative signal for these samples.</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Parameter</w:t>
            </w:r>
          </w:p>
        </w:tc>
        <w:tc>
          <w:tcPr>
            <w:tcW w:type="dxa" w:w="4320"/>
          </w:tcPr>
          <w:p>
            <w:r>
              <w:rPr>
                <w:b/>
                <w:sz w:val="20"/>
              </w:rPr>
              <w:t>Value</w:t>
            </w:r>
          </w:p>
        </w:tc>
      </w:tr>
      <w:tr>
        <w:tc>
          <w:tcPr>
            <w:tcW w:type="dxa" w:w="4320"/>
          </w:tcPr>
          <w:p>
            <w:r>
              <w:rPr>
                <w:sz w:val="20"/>
              </w:rPr>
              <w:t>Spatial dimensions</w:t>
            </w:r>
          </w:p>
        </w:tc>
        <w:tc>
          <w:tcPr>
            <w:tcW w:type="dxa" w:w="4320"/>
          </w:tcPr>
          <w:p>
            <w:r>
              <w:rPr>
                <w:sz w:val="20"/>
              </w:rPr>
              <w:t>~1040 x 925 pixels (sample-dependent)</w:t>
            </w:r>
          </w:p>
        </w:tc>
      </w:tr>
      <w:tr>
        <w:tc>
          <w:tcPr>
            <w:tcW w:type="dxa" w:w="4320"/>
          </w:tcPr>
          <w:p>
            <w:r>
              <w:rPr>
                <w:sz w:val="20"/>
              </w:rPr>
              <w:t>Excitation wavelengths</w:t>
            </w:r>
          </w:p>
        </w:tc>
        <w:tc>
          <w:tcPr>
            <w:tcW w:type="dxa" w:w="4320"/>
          </w:tcPr>
          <w:p>
            <w:r>
              <w:rPr>
                <w:sz w:val="20"/>
              </w:rPr>
              <w:t>6 (310, 325, 340, 365, 385, 400 nm)</w:t>
            </w:r>
          </w:p>
        </w:tc>
      </w:tr>
      <w:tr>
        <w:tc>
          <w:tcPr>
            <w:tcW w:type="dxa" w:w="4320"/>
          </w:tcPr>
          <w:p>
            <w:r>
              <w:rPr>
                <w:sz w:val="20"/>
              </w:rPr>
              <w:t>Emission range</w:t>
            </w:r>
          </w:p>
        </w:tc>
        <w:tc>
          <w:tcPr>
            <w:tcW w:type="dxa" w:w="4320"/>
          </w:tcPr>
          <w:p>
            <w:r>
              <w:rPr>
                <w:sz w:val="20"/>
              </w:rPr>
              <w:t>420-720 nm</w:t>
            </w:r>
          </w:p>
        </w:tc>
      </w:tr>
      <w:tr>
        <w:tc>
          <w:tcPr>
            <w:tcW w:type="dxa" w:w="4320"/>
          </w:tcPr>
          <w:p>
            <w:r>
              <w:rPr>
                <w:sz w:val="20"/>
              </w:rPr>
              <w:t>Emission bands per excitation</w:t>
            </w:r>
          </w:p>
        </w:tc>
        <w:tc>
          <w:tcPr>
            <w:tcW w:type="dxa" w:w="4320"/>
          </w:tcPr>
          <w:p>
            <w:r>
              <w:rPr>
                <w:sz w:val="20"/>
              </w:rPr>
              <w:t>22-28 (variable after Rayleigh cutoff)</w:t>
            </w:r>
          </w:p>
        </w:tc>
      </w:tr>
      <w:tr>
        <w:tc>
          <w:tcPr>
            <w:tcW w:type="dxa" w:w="4320"/>
          </w:tcPr>
          <w:p>
            <w:r>
              <w:rPr>
                <w:sz w:val="20"/>
              </w:rPr>
              <w:t>Total valid EEM pairs</w:t>
            </w:r>
          </w:p>
        </w:tc>
        <w:tc>
          <w:tcPr>
            <w:tcW w:type="dxa" w:w="4320"/>
          </w:tcPr>
          <w:p>
            <w:r>
              <w:rPr>
                <w:sz w:val="20"/>
              </w:rPr>
              <w:t>158</w:t>
            </w:r>
          </w:p>
        </w:tc>
      </w:tr>
      <w:tr>
        <w:tc>
          <w:tcPr>
            <w:tcW w:type="dxa" w:w="4320"/>
          </w:tcPr>
          <w:p>
            <w:r>
              <w:rPr>
                <w:sz w:val="20"/>
              </w:rPr>
              <w:t>Spectral resolution</w:t>
            </w:r>
          </w:p>
        </w:tc>
        <w:tc>
          <w:tcPr>
            <w:tcW w:type="dxa" w:w="4320"/>
          </w:tcPr>
          <w:p>
            <w:r>
              <w:rPr>
                <w:sz w:val="20"/>
              </w:rPr>
              <w:t>10 nm</w:t>
            </w:r>
          </w:p>
        </w:tc>
      </w:tr>
      <w:tr>
        <w:tc>
          <w:tcPr>
            <w:tcW w:type="dxa" w:w="4320"/>
          </w:tcPr>
          <w:p>
            <w:r>
              <w:rPr>
                <w:sz w:val="20"/>
              </w:rPr>
              <w:t>Ground-truth classes</w:t>
            </w:r>
          </w:p>
        </w:tc>
        <w:tc>
          <w:tcPr>
            <w:tcW w:type="dxa" w:w="4320"/>
          </w:tcPr>
          <w:p>
            <w:r>
              <w:rPr>
                <w:sz w:val="20"/>
              </w:rPr>
              <w:t>3 crosslinker concentrations</w:t>
            </w:r>
          </w:p>
        </w:tc>
      </w:tr>
      <w:tr>
        <w:tc>
          <w:tcPr>
            <w:tcW w:type="dxa" w:w="4320"/>
          </w:tcPr>
          <w:p>
            <w:r>
              <w:rPr>
                <w:sz w:val="20"/>
              </w:rPr>
              <w:t>Annotated pixels</w:t>
            </w:r>
          </w:p>
        </w:tc>
        <w:tc>
          <w:tcPr>
            <w:tcW w:type="dxa" w:w="4320"/>
          </w:tcPr>
          <w:p>
            <w:r>
              <w:rPr>
                <w:sz w:val="20"/>
              </w:rPr>
              <w:t>39,970</w:t>
            </w:r>
          </w:p>
        </w:tc>
      </w:tr>
    </w:tbl>
    <w:p>
      <w:pPr>
        <w:pStyle w:val="Heading1"/>
      </w:pPr>
      <w:r>
        <w:rPr>
          <w:color w:val="1F4E79"/>
        </w:rPr>
        <w:t>3. Ground Truth and Validation Protocol</w:t>
      </w:r>
    </w:p>
    <w:p>
      <w:r>
        <w:rPr>
          <w:sz w:val="22"/>
        </w:rPr>
        <w:t>Three rectangular ROIs (one per concentration class) were delineated on the imaged sponges, providing 5,934 training pixels. The remaining 34,036 labeled pixels form the test set. This protocol matches the original sweep used to produce the IASIM 2026 abstract's headline numbers and is the same evaluation protocol used in the SOTA comparison (Section 6.6).</w:t>
      </w:r>
    </w:p>
    <w:p>
      <w:pPr>
        <w:pStyle w:val="Heading1"/>
      </w:pPr>
      <w:r>
        <w:rPr>
          <w:color w:val="1F4E79"/>
        </w:rPr>
        <w:t>4. Methodology</w:t>
      </w:r>
    </w:p>
    <w:p>
      <w:r>
        <w:rPr>
          <w:sz w:val="22"/>
        </w:rPr>
        <w:t>The Collagen Sponges pipeline uses the identical spectral-select architecture and procedure as the Lichens evaluation: parallel-branch 3D convolutional autoencoder, latent-space perturbation-based attribution, and MMR diversity-aware selection. The full sweep explored 432 configurations spanning dimension method (variance, PCA), k (1, 3), perturbation method (percentile, absolute), magnitude regime (medium, high), normalization (none, max-per-excitation, variance), and band count K (1-180).</w:t>
      </w:r>
    </w:p>
    <w:p>
      <w:r>
        <w:rPr>
          <w:sz w:val="22"/>
        </w:rPr>
        <w:t>The only adjustment relative to Lichens is the number of excitations input to the autoencoder (6 vs 8 parallel branches). All hyperparameters (k1=k3=20 filters, 64x64 patches, Adam at lr=0.001, etc.) are identical.</w:t>
      </w:r>
    </w:p>
    <w:p>
      <w:pPr>
        <w:pStyle w:val="Heading1"/>
      </w:pPr>
      <w:r>
        <w:rPr>
          <w:color w:val="1F4E79"/>
        </w:rPr>
        <w:t>5. Results</w:t>
      </w:r>
    </w:p>
    <w:p>
      <w:pPr>
        <w:pStyle w:val="Heading2"/>
      </w:pPr>
      <w:r>
        <w:rPr>
          <w:color w:val="1F4E79"/>
        </w:rPr>
        <w:t>5.1 Headline: 7% Improvement Over Baseline at 81% Data Reduction</w:t>
      </w:r>
    </w:p>
    <w:p>
      <w:r>
        <w:rPr>
          <w:b/>
          <w:sz w:val="22"/>
        </w:rPr>
        <w:t>Using all 158 wavelength pairs with KNN-5 classification establishes a baseline of 79.78% accuracy (Cohen's kappa = 0.696). The best sweep result achieves 85.59% accuracy with 30 selected bands (81% data reduction, +5.8 pp above baseline). Every band count from 5 to 130 exceeds the baseline.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Bands</w:t>
            </w:r>
          </w:p>
        </w:tc>
        <w:tc>
          <w:tcPr>
            <w:tcW w:type="dxa" w:w="1440"/>
          </w:tcPr>
          <w:p>
            <w:r>
              <w:rPr>
                <w:b/>
                <w:sz w:val="20"/>
              </w:rPr>
              <w:t>Reduction</w:t>
            </w:r>
          </w:p>
        </w:tc>
        <w:tc>
          <w:tcPr>
            <w:tcW w:type="dxa" w:w="1440"/>
          </w:tcPr>
          <w:p>
            <w:r>
              <w:rPr>
                <w:b/>
                <w:sz w:val="20"/>
              </w:rPr>
              <w:t>Accuracy</w:t>
            </w:r>
          </w:p>
        </w:tc>
        <w:tc>
          <w:tcPr>
            <w:tcW w:type="dxa" w:w="1440"/>
          </w:tcPr>
          <w:p>
            <w:r>
              <w:rPr>
                <w:b/>
                <w:sz w:val="20"/>
              </w:rPr>
              <w:t>F1 (wtd)</w:t>
            </w:r>
          </w:p>
        </w:tc>
        <w:tc>
          <w:tcPr>
            <w:tcW w:type="dxa" w:w="1440"/>
          </w:tcPr>
          <w:p>
            <w:r>
              <w:rPr>
                <w:b/>
                <w:sz w:val="20"/>
              </w:rPr>
              <w:t>Kappa</w:t>
            </w:r>
          </w:p>
        </w:tc>
        <w:tc>
          <w:tcPr>
            <w:tcW w:type="dxa" w:w="1440"/>
          </w:tcPr>
          <w:p>
            <w:r>
              <w:rPr>
                <w:b/>
                <w:sz w:val="20"/>
              </w:rPr>
              <w:t>Rel. Perf.</w:t>
            </w:r>
          </w:p>
        </w:tc>
      </w:tr>
      <w:tr>
        <w:tc>
          <w:tcPr>
            <w:tcW w:type="dxa" w:w="1440"/>
          </w:tcPr>
          <w:p>
            <w:r>
              <w:rPr>
                <w:sz w:val="20"/>
              </w:rPr>
              <w:t>158 (baseline)</w:t>
            </w:r>
          </w:p>
        </w:tc>
        <w:tc>
          <w:tcPr>
            <w:tcW w:type="dxa" w:w="1440"/>
          </w:tcPr>
          <w:p>
            <w:r>
              <w:rPr>
                <w:sz w:val="20"/>
              </w:rPr>
              <w:t>0.0%</w:t>
            </w:r>
          </w:p>
        </w:tc>
        <w:tc>
          <w:tcPr>
            <w:tcW w:type="dxa" w:w="1440"/>
          </w:tcPr>
          <w:p>
            <w:r>
              <w:rPr>
                <w:sz w:val="20"/>
              </w:rPr>
              <w:t>0.7978</w:t>
            </w:r>
          </w:p>
        </w:tc>
        <w:tc>
          <w:tcPr>
            <w:tcW w:type="dxa" w:w="1440"/>
          </w:tcPr>
          <w:p>
            <w:r>
              <w:rPr>
                <w:sz w:val="20"/>
              </w:rPr>
              <w:t>0.7889</w:t>
            </w:r>
          </w:p>
        </w:tc>
        <w:tc>
          <w:tcPr>
            <w:tcW w:type="dxa" w:w="1440"/>
          </w:tcPr>
          <w:p>
            <w:r>
              <w:rPr>
                <w:sz w:val="20"/>
              </w:rPr>
              <w:t>0.6961</w:t>
            </w:r>
          </w:p>
        </w:tc>
        <w:tc>
          <w:tcPr>
            <w:tcW w:type="dxa" w:w="1440"/>
          </w:tcPr>
          <w:p>
            <w:r>
              <w:rPr>
                <w:sz w:val="20"/>
              </w:rPr>
              <w:t>100.0%</w:t>
            </w:r>
          </w:p>
        </w:tc>
      </w:tr>
      <w:tr>
        <w:tc>
          <w:tcPr>
            <w:tcW w:type="dxa" w:w="1440"/>
          </w:tcPr>
          <w:p>
            <w:r>
              <w:rPr>
                <w:sz w:val="20"/>
              </w:rPr>
              <w:t>5</w:t>
            </w:r>
          </w:p>
        </w:tc>
        <w:tc>
          <w:tcPr>
            <w:tcW w:type="dxa" w:w="1440"/>
          </w:tcPr>
          <w:p>
            <w:r>
              <w:rPr>
                <w:sz w:val="20"/>
              </w:rPr>
              <w:t>96.8%</w:t>
            </w:r>
          </w:p>
        </w:tc>
        <w:tc>
          <w:tcPr>
            <w:tcW w:type="dxa" w:w="1440"/>
          </w:tcPr>
          <w:p>
            <w:r>
              <w:rPr>
                <w:sz w:val="20"/>
              </w:rPr>
              <w:t>0.8085</w:t>
            </w:r>
          </w:p>
        </w:tc>
        <w:tc>
          <w:tcPr>
            <w:tcW w:type="dxa" w:w="1440"/>
          </w:tcPr>
          <w:p>
            <w:r>
              <w:rPr>
                <w:sz w:val="20"/>
              </w:rPr>
              <w:t>-</w:t>
            </w:r>
          </w:p>
        </w:tc>
        <w:tc>
          <w:tcPr>
            <w:tcW w:type="dxa" w:w="1440"/>
          </w:tcPr>
          <w:p>
            <w:r>
              <w:rPr>
                <w:sz w:val="20"/>
              </w:rPr>
              <w:t>0.7126</w:t>
            </w:r>
          </w:p>
        </w:tc>
        <w:tc>
          <w:tcPr>
            <w:tcW w:type="dxa" w:w="1440"/>
          </w:tcPr>
          <w:p>
            <w:r>
              <w:rPr>
                <w:sz w:val="20"/>
              </w:rPr>
              <w:t>101.3%</w:t>
            </w:r>
          </w:p>
        </w:tc>
      </w:tr>
      <w:tr>
        <w:tc>
          <w:tcPr>
            <w:tcW w:type="dxa" w:w="1440"/>
          </w:tcPr>
          <w:p>
            <w:r>
              <w:rPr>
                <w:sz w:val="20"/>
              </w:rPr>
              <w:t>10</w:t>
            </w:r>
          </w:p>
        </w:tc>
        <w:tc>
          <w:tcPr>
            <w:tcW w:type="dxa" w:w="1440"/>
          </w:tcPr>
          <w:p>
            <w:r>
              <w:rPr>
                <w:sz w:val="20"/>
              </w:rPr>
              <w:t>93.7%</w:t>
            </w:r>
          </w:p>
        </w:tc>
        <w:tc>
          <w:tcPr>
            <w:tcW w:type="dxa" w:w="1440"/>
          </w:tcPr>
          <w:p>
            <w:r>
              <w:rPr>
                <w:sz w:val="20"/>
              </w:rPr>
              <w:t>0.8167</w:t>
            </w:r>
          </w:p>
        </w:tc>
        <w:tc>
          <w:tcPr>
            <w:tcW w:type="dxa" w:w="1440"/>
          </w:tcPr>
          <w:p>
            <w:r>
              <w:rPr>
                <w:sz w:val="20"/>
              </w:rPr>
              <w:t>-</w:t>
            </w:r>
          </w:p>
        </w:tc>
        <w:tc>
          <w:tcPr>
            <w:tcW w:type="dxa" w:w="1440"/>
          </w:tcPr>
          <w:p>
            <w:r>
              <w:rPr>
                <w:sz w:val="20"/>
              </w:rPr>
              <w:t>0.7250</w:t>
            </w:r>
          </w:p>
        </w:tc>
        <w:tc>
          <w:tcPr>
            <w:tcW w:type="dxa" w:w="1440"/>
          </w:tcPr>
          <w:p>
            <w:r>
              <w:rPr>
                <w:sz w:val="20"/>
              </w:rPr>
              <w:t>102.4%</w:t>
            </w:r>
          </w:p>
        </w:tc>
      </w:tr>
      <w:tr>
        <w:tc>
          <w:tcPr>
            <w:tcW w:type="dxa" w:w="1440"/>
          </w:tcPr>
          <w:p>
            <w:r>
              <w:rPr>
                <w:sz w:val="20"/>
              </w:rPr>
              <w:t>15</w:t>
            </w:r>
          </w:p>
        </w:tc>
        <w:tc>
          <w:tcPr>
            <w:tcW w:type="dxa" w:w="1440"/>
          </w:tcPr>
          <w:p>
            <w:r>
              <w:rPr>
                <w:sz w:val="20"/>
              </w:rPr>
              <w:t>90.5%</w:t>
            </w:r>
          </w:p>
        </w:tc>
        <w:tc>
          <w:tcPr>
            <w:tcW w:type="dxa" w:w="1440"/>
          </w:tcPr>
          <w:p>
            <w:r>
              <w:rPr>
                <w:sz w:val="20"/>
              </w:rPr>
              <w:t>0.8239</w:t>
            </w:r>
          </w:p>
        </w:tc>
        <w:tc>
          <w:tcPr>
            <w:tcW w:type="dxa" w:w="1440"/>
          </w:tcPr>
          <w:p>
            <w:r>
              <w:rPr>
                <w:sz w:val="20"/>
              </w:rPr>
              <w:t>-</w:t>
            </w:r>
          </w:p>
        </w:tc>
        <w:tc>
          <w:tcPr>
            <w:tcW w:type="dxa" w:w="1440"/>
          </w:tcPr>
          <w:p>
            <w:r>
              <w:rPr>
                <w:sz w:val="20"/>
              </w:rPr>
              <w:t>0.7359</w:t>
            </w:r>
          </w:p>
        </w:tc>
        <w:tc>
          <w:tcPr>
            <w:tcW w:type="dxa" w:w="1440"/>
          </w:tcPr>
          <w:p>
            <w:r>
              <w:rPr>
                <w:sz w:val="20"/>
              </w:rPr>
              <w:t>103.3%</w:t>
            </w:r>
          </w:p>
        </w:tc>
      </w:tr>
      <w:tr>
        <w:tc>
          <w:tcPr>
            <w:tcW w:type="dxa" w:w="1440"/>
          </w:tcPr>
          <w:p>
            <w:r>
              <w:rPr>
                <w:sz w:val="20"/>
              </w:rPr>
              <w:t>20</w:t>
            </w:r>
          </w:p>
        </w:tc>
        <w:tc>
          <w:tcPr>
            <w:tcW w:type="dxa" w:w="1440"/>
          </w:tcPr>
          <w:p>
            <w:r>
              <w:rPr>
                <w:sz w:val="20"/>
              </w:rPr>
              <w:t>87.3%</w:t>
            </w:r>
          </w:p>
        </w:tc>
        <w:tc>
          <w:tcPr>
            <w:tcW w:type="dxa" w:w="1440"/>
          </w:tcPr>
          <w:p>
            <w:r>
              <w:rPr>
                <w:sz w:val="20"/>
              </w:rPr>
              <w:t>0.8496</w:t>
            </w:r>
          </w:p>
        </w:tc>
        <w:tc>
          <w:tcPr>
            <w:tcW w:type="dxa" w:w="1440"/>
          </w:tcPr>
          <w:p>
            <w:r>
              <w:rPr>
                <w:sz w:val="20"/>
              </w:rPr>
              <w:t>-</w:t>
            </w:r>
          </w:p>
        </w:tc>
        <w:tc>
          <w:tcPr>
            <w:tcW w:type="dxa" w:w="1440"/>
          </w:tcPr>
          <w:p>
            <w:r>
              <w:rPr>
                <w:sz w:val="20"/>
              </w:rPr>
              <w:t>0.7745</w:t>
            </w:r>
          </w:p>
        </w:tc>
        <w:tc>
          <w:tcPr>
            <w:tcW w:type="dxa" w:w="1440"/>
          </w:tcPr>
          <w:p>
            <w:r>
              <w:rPr>
                <w:sz w:val="20"/>
              </w:rPr>
              <w:t>106.5%</w:t>
            </w:r>
          </w:p>
        </w:tc>
      </w:tr>
      <w:tr>
        <w:tc>
          <w:tcPr>
            <w:tcW w:type="dxa" w:w="1440"/>
          </w:tcPr>
          <w:p>
            <w:r>
              <w:rPr>
                <w:sz w:val="20"/>
              </w:rPr>
              <w:t>30 (peak)</w:t>
            </w:r>
          </w:p>
        </w:tc>
        <w:tc>
          <w:tcPr>
            <w:tcW w:type="dxa" w:w="1440"/>
          </w:tcPr>
          <w:p>
            <w:r>
              <w:rPr>
                <w:sz w:val="20"/>
              </w:rPr>
              <w:t>81.0%</w:t>
            </w:r>
          </w:p>
        </w:tc>
        <w:tc>
          <w:tcPr>
            <w:tcW w:type="dxa" w:w="1440"/>
          </w:tcPr>
          <w:p>
            <w:r>
              <w:rPr>
                <w:sz w:val="20"/>
              </w:rPr>
              <w:t>0.8559</w:t>
            </w:r>
          </w:p>
        </w:tc>
        <w:tc>
          <w:tcPr>
            <w:tcW w:type="dxa" w:w="1440"/>
          </w:tcPr>
          <w:p>
            <w:r>
              <w:rPr>
                <w:sz w:val="20"/>
              </w:rPr>
              <w:t>-</w:t>
            </w:r>
          </w:p>
        </w:tc>
        <w:tc>
          <w:tcPr>
            <w:tcW w:type="dxa" w:w="1440"/>
          </w:tcPr>
          <w:p>
            <w:r>
              <w:rPr>
                <w:sz w:val="20"/>
              </w:rPr>
              <w:t>0.7838</w:t>
            </w:r>
          </w:p>
        </w:tc>
        <w:tc>
          <w:tcPr>
            <w:tcW w:type="dxa" w:w="1440"/>
          </w:tcPr>
          <w:p>
            <w:r>
              <w:rPr>
                <w:sz w:val="20"/>
              </w:rPr>
              <w:t>107.3%</w:t>
            </w:r>
          </w:p>
        </w:tc>
      </w:tr>
      <w:tr>
        <w:tc>
          <w:tcPr>
            <w:tcW w:type="dxa" w:w="1440"/>
          </w:tcPr>
          <w:p>
            <w:r>
              <w:rPr>
                <w:sz w:val="20"/>
              </w:rPr>
              <w:t>50</w:t>
            </w:r>
          </w:p>
        </w:tc>
        <w:tc>
          <w:tcPr>
            <w:tcW w:type="dxa" w:w="1440"/>
          </w:tcPr>
          <w:p>
            <w:r>
              <w:rPr>
                <w:sz w:val="20"/>
              </w:rPr>
              <w:t>68.4%</w:t>
            </w:r>
          </w:p>
        </w:tc>
        <w:tc>
          <w:tcPr>
            <w:tcW w:type="dxa" w:w="1440"/>
          </w:tcPr>
          <w:p>
            <w:r>
              <w:rPr>
                <w:sz w:val="20"/>
              </w:rPr>
              <w:t>0.8514</w:t>
            </w:r>
          </w:p>
        </w:tc>
        <w:tc>
          <w:tcPr>
            <w:tcW w:type="dxa" w:w="1440"/>
          </w:tcPr>
          <w:p>
            <w:r>
              <w:rPr>
                <w:sz w:val="20"/>
              </w:rPr>
              <w:t>-</w:t>
            </w:r>
          </w:p>
        </w:tc>
        <w:tc>
          <w:tcPr>
            <w:tcW w:type="dxa" w:w="1440"/>
          </w:tcPr>
          <w:p>
            <w:r>
              <w:rPr>
                <w:sz w:val="20"/>
              </w:rPr>
              <w:t>0.7770</w:t>
            </w:r>
          </w:p>
        </w:tc>
        <w:tc>
          <w:tcPr>
            <w:tcW w:type="dxa" w:w="1440"/>
          </w:tcPr>
          <w:p>
            <w:r>
              <w:rPr>
                <w:sz w:val="20"/>
              </w:rPr>
              <w:t>106.7%</w:t>
            </w:r>
          </w:p>
        </w:tc>
      </w:tr>
      <w:tr>
        <w:tc>
          <w:tcPr>
            <w:tcW w:type="dxa" w:w="1440"/>
          </w:tcPr>
          <w:p>
            <w:r>
              <w:rPr>
                <w:sz w:val="20"/>
              </w:rPr>
              <w:t>80</w:t>
            </w:r>
          </w:p>
        </w:tc>
        <w:tc>
          <w:tcPr>
            <w:tcW w:type="dxa" w:w="1440"/>
          </w:tcPr>
          <w:p>
            <w:r>
              <w:rPr>
                <w:sz w:val="20"/>
              </w:rPr>
              <w:t>49.4%</w:t>
            </w:r>
          </w:p>
        </w:tc>
        <w:tc>
          <w:tcPr>
            <w:tcW w:type="dxa" w:w="1440"/>
          </w:tcPr>
          <w:p>
            <w:r>
              <w:rPr>
                <w:sz w:val="20"/>
              </w:rPr>
              <w:t>0.8230</w:t>
            </w:r>
          </w:p>
        </w:tc>
        <w:tc>
          <w:tcPr>
            <w:tcW w:type="dxa" w:w="1440"/>
          </w:tcPr>
          <w:p>
            <w:r>
              <w:rPr>
                <w:sz w:val="20"/>
              </w:rPr>
              <w:t>-</w:t>
            </w:r>
          </w:p>
        </w:tc>
        <w:tc>
          <w:tcPr>
            <w:tcW w:type="dxa" w:w="1440"/>
          </w:tcPr>
          <w:p>
            <w:r>
              <w:rPr>
                <w:sz w:val="20"/>
              </w:rPr>
              <w:t>0.7345</w:t>
            </w:r>
          </w:p>
        </w:tc>
        <w:tc>
          <w:tcPr>
            <w:tcW w:type="dxa" w:w="1440"/>
          </w:tcPr>
          <w:p>
            <w:r>
              <w:rPr>
                <w:sz w:val="20"/>
              </w:rPr>
              <w:t>103.2%</w:t>
            </w:r>
          </w:p>
        </w:tc>
      </w:tr>
    </w:tbl>
    <w:p>
      <w:pPr>
        <w:pStyle w:val="Heading2"/>
      </w:pPr>
      <w:r>
        <w:rPr>
          <w:color w:val="1F4E79"/>
        </w:rPr>
        <w:t>5.2 Accuracy Envelope (KNN)</w:t>
      </w:r>
    </w:p>
    <w:p>
      <w:pPr>
        <w:spacing w:before="160" w:after="40"/>
        <w:jc w:val="center"/>
      </w:pPr>
      <w:r>
        <w:drawing>
          <wp:inline xmlns:a="http://schemas.openxmlformats.org/drawingml/2006/main" xmlns:pic="http://schemas.openxmlformats.org/drawingml/2006/picture">
            <wp:extent cx="5029200" cy="3122083"/>
            <wp:docPr id="1" name="Picture 1"/>
            <wp:cNvGraphicFramePr>
              <a:graphicFrameLocks noChangeAspect="1"/>
            </wp:cNvGraphicFramePr>
            <a:graphic>
              <a:graphicData uri="http://schemas.openxmlformats.org/drawingml/2006/picture">
                <pic:pic>
                  <pic:nvPicPr>
                    <pic:cNvPr id="0" name="accuracy_envelope_knn.png"/>
                    <pic:cNvPicPr/>
                  </pic:nvPicPr>
                  <pic:blipFill>
                    <a:blip r:embed="rId9"/>
                    <a:stretch>
                      <a:fillRect/>
                    </a:stretch>
                  </pic:blipFill>
                  <pic:spPr>
                    <a:xfrm>
                      <a:off x="0" y="0"/>
                      <a:ext cx="5029200" cy="3122083"/>
                    </a:xfrm>
                    <a:prstGeom prst="rect"/>
                  </pic:spPr>
                </pic:pic>
              </a:graphicData>
            </a:graphic>
          </wp:inline>
        </w:drawing>
      </w:r>
    </w:p>
    <w:p>
      <w:pPr>
        <w:jc w:val="center"/>
      </w:pPr>
      <w:r>
        <w:rPr>
          <w:i/>
          <w:color w:val="404040"/>
          <w:sz w:val="20"/>
        </w:rPr>
        <w:t>Figure 1. KNN-5 accuracy as a function of selected band count across the 432 configuration sweep. Peak at K=30 (85.59%); above-baseline performance maintained from K=5 to K=130.</w:t>
      </w:r>
    </w:p>
    <w:p>
      <w:pPr>
        <w:pStyle w:val="Heading2"/>
      </w:pPr>
      <w:r>
        <w:rPr>
          <w:color w:val="1F4E79"/>
        </w:rPr>
        <w:t>5.3 Wavelength Importance Heatmap</w:t>
      </w:r>
    </w:p>
    <w:p>
      <w:pPr>
        <w:spacing w:before="160" w:after="40"/>
        <w:jc w:val="center"/>
      </w:pPr>
      <w:r>
        <w:drawing>
          <wp:inline xmlns:a="http://schemas.openxmlformats.org/drawingml/2006/main" xmlns:pic="http://schemas.openxmlformats.org/drawingml/2006/picture">
            <wp:extent cx="5943600" cy="2199413"/>
            <wp:docPr id="2" name="Picture 2"/>
            <wp:cNvGraphicFramePr>
              <a:graphicFrameLocks noChangeAspect="1"/>
            </wp:cNvGraphicFramePr>
            <a:graphic>
              <a:graphicData uri="http://schemas.openxmlformats.org/drawingml/2006/picture">
                <pic:pic>
                  <pic:nvPicPr>
                    <pic:cNvPr id="0" name="wavelength_heatmap.png"/>
                    <pic:cNvPicPr/>
                  </pic:nvPicPr>
                  <pic:blipFill>
                    <a:blip r:embed="rId10"/>
                    <a:stretch>
                      <a:fillRect/>
                    </a:stretch>
                  </pic:blipFill>
                  <pic:spPr>
                    <a:xfrm>
                      <a:off x="0" y="0"/>
                      <a:ext cx="5943600" cy="2199413"/>
                    </a:xfrm>
                    <a:prstGeom prst="rect"/>
                  </pic:spPr>
                </pic:pic>
              </a:graphicData>
            </a:graphic>
          </wp:inline>
        </w:drawing>
      </w:r>
    </w:p>
    <w:p>
      <w:pPr>
        <w:jc w:val="center"/>
      </w:pPr>
      <w:r>
        <w:rPr>
          <w:i/>
          <w:color w:val="404040"/>
          <w:sz w:val="20"/>
        </w:rPr>
        <w:t>Figure 2. Mean wavelength importance across above-baseline configurations on Collagen Sponges. Importance concentrates at 470-530 nm emission and across excitations 365-400 nm, consistent with collagen autofluorescence in the near-UV regime.</w:t>
      </w:r>
    </w:p>
    <w:p>
      <w:pPr>
        <w:pStyle w:val="Heading2"/>
      </w:pPr>
      <w:r>
        <w:rPr>
          <w:color w:val="1F4E79"/>
        </w:rPr>
        <w:t>5.4 Multi-Classifier Robustness</w:t>
      </w:r>
    </w:p>
    <w:p>
      <w:r>
        <w:rPr>
          <w:sz w:val="22"/>
        </w:rPr>
        <w:t>To verify that the selected bands carry information that is portable across classifier families, ten classifiers were evaluated on the K=30 selection: KNN (k=5 and k=11, uniform and distance-weighted), Linear Discriminant Analysis (LDA), Support Vector Machine (linear and RBF kernels), Multilayer Perceptron (MLP), Random Forest with 100 and 300 trees, and Gradient Boosting Machines.</w:t>
      </w:r>
    </w:p>
    <w:p>
      <w:pPr>
        <w:spacing w:before="160" w:after="40"/>
        <w:jc w:val="center"/>
      </w:pPr>
      <w:r>
        <w:drawing>
          <wp:inline xmlns:a="http://schemas.openxmlformats.org/drawingml/2006/main" xmlns:pic="http://schemas.openxmlformats.org/drawingml/2006/picture">
            <wp:extent cx="5029200" cy="3038985"/>
            <wp:docPr id="3" name="Picture 3"/>
            <wp:cNvGraphicFramePr>
              <a:graphicFrameLocks noChangeAspect="1"/>
            </wp:cNvGraphicFramePr>
            <a:graphic>
              <a:graphicData uri="http://schemas.openxmlformats.org/drawingml/2006/picture">
                <pic:pic>
                  <pic:nvPicPr>
                    <pic:cNvPr id="0" name="classifier_curves.png"/>
                    <pic:cNvPicPr/>
                  </pic:nvPicPr>
                  <pic:blipFill>
                    <a:blip r:embed="rId11"/>
                    <a:stretch>
                      <a:fillRect/>
                    </a:stretch>
                  </pic:blipFill>
                  <pic:spPr>
                    <a:xfrm>
                      <a:off x="0" y="0"/>
                      <a:ext cx="5029200" cy="3038985"/>
                    </a:xfrm>
                    <a:prstGeom prst="rect"/>
                  </pic:spPr>
                </pic:pic>
              </a:graphicData>
            </a:graphic>
          </wp:inline>
        </w:drawing>
      </w:r>
    </w:p>
    <w:p>
      <w:pPr>
        <w:jc w:val="center"/>
      </w:pPr>
      <w:r>
        <w:rPr>
          <w:i/>
          <w:color w:val="404040"/>
          <w:sz w:val="20"/>
        </w:rPr>
        <w:t>Figure 3. Accuracy vs band count for ten different classifiers. LDA (linear discriminant analysis) reaches 92.5% accuracy on the K=50 selection, very close to its 92.8% full-spectrum baseline -- demonstrating that the selected band set retains nearly all linearly separable structure.</w:t>
      </w:r>
    </w:p>
    <w:p>
      <w:pPr>
        <w:spacing w:before="160" w:after="40"/>
        <w:jc w:val="center"/>
      </w:pPr>
      <w:r>
        <w:drawing>
          <wp:inline xmlns:a="http://schemas.openxmlformats.org/drawingml/2006/main" xmlns:pic="http://schemas.openxmlformats.org/drawingml/2006/picture">
            <wp:extent cx="5029200" cy="3034472"/>
            <wp:docPr id="4" name="Picture 4"/>
            <wp:cNvGraphicFramePr>
              <a:graphicFrameLocks noChangeAspect="1"/>
            </wp:cNvGraphicFramePr>
            <a:graphic>
              <a:graphicData uri="http://schemas.openxmlformats.org/drawingml/2006/picture">
                <pic:pic>
                  <pic:nvPicPr>
                    <pic:cNvPr id="0" name="efficiency.png"/>
                    <pic:cNvPicPr/>
                  </pic:nvPicPr>
                  <pic:blipFill>
                    <a:blip r:embed="rId12"/>
                    <a:stretch>
                      <a:fillRect/>
                    </a:stretch>
                  </pic:blipFill>
                  <pic:spPr>
                    <a:xfrm>
                      <a:off x="0" y="0"/>
                      <a:ext cx="5029200" cy="3034472"/>
                    </a:xfrm>
                    <a:prstGeom prst="rect"/>
                  </pic:spPr>
                </pic:pic>
              </a:graphicData>
            </a:graphic>
          </wp:inline>
        </w:drawing>
      </w:r>
    </w:p>
    <w:p>
      <w:pPr>
        <w:jc w:val="center"/>
      </w:pPr>
      <w:r>
        <w:rPr>
          <w:i/>
          <w:color w:val="404040"/>
          <w:sz w:val="20"/>
        </w:rPr>
        <w:t>Figure 4. Computational efficiency vs accuracy trade-off across the K sweep. Inference cost scales as K/158, so K=30 selection is ~5x faster than the full spectrum.</w:t>
      </w:r>
    </w:p>
    <w:p>
      <w:pPr>
        <w:spacing w:before="160" w:after="40"/>
        <w:jc w:val="center"/>
      </w:pPr>
      <w:r>
        <w:drawing>
          <wp:inline xmlns:a="http://schemas.openxmlformats.org/drawingml/2006/main" xmlns:pic="http://schemas.openxmlformats.org/drawingml/2006/picture">
            <wp:extent cx="5029200" cy="2609709"/>
            <wp:docPr id="5" name="Picture 5"/>
            <wp:cNvGraphicFramePr>
              <a:graphicFrameLocks noChangeAspect="1"/>
            </wp:cNvGraphicFramePr>
            <a:graphic>
              <a:graphicData uri="http://schemas.openxmlformats.org/drawingml/2006/picture">
                <pic:pic>
                  <pic:nvPicPr>
                    <pic:cNvPr id="0" name="gap_heatmap.png"/>
                    <pic:cNvPicPr/>
                  </pic:nvPicPr>
                  <pic:blipFill>
                    <a:blip r:embed="rId13"/>
                    <a:stretch>
                      <a:fillRect/>
                    </a:stretch>
                  </pic:blipFill>
                  <pic:spPr>
                    <a:xfrm>
                      <a:off x="0" y="0"/>
                      <a:ext cx="5029200" cy="2609709"/>
                    </a:xfrm>
                    <a:prstGeom prst="rect"/>
                  </pic:spPr>
                </pic:pic>
              </a:graphicData>
            </a:graphic>
          </wp:inline>
        </w:drawing>
      </w:r>
    </w:p>
    <w:p>
      <w:pPr>
        <w:jc w:val="center"/>
      </w:pPr>
      <w:r>
        <w:rPr>
          <w:i/>
          <w:color w:val="404040"/>
          <w:sz w:val="20"/>
        </w:rPr>
        <w:t>Figure 5. Per-classifier improvement (selected K=30 minus baseline) across all classifiers tested. Nine of ten classifiers improved with the selection.</w:t>
      </w:r>
    </w:p>
    <w:p>
      <w:pPr>
        <w:pStyle w:val="Heading2"/>
      </w:pPr>
      <w:r>
        <w:rPr>
          <w:color w:val="1F4E79"/>
        </w:rPr>
        <w:t>5.5 State-of-the-Art Comparison</w:t>
      </w:r>
    </w:p>
    <w:p>
      <w:r>
        <w:rPr>
          <w:sz w:val="22"/>
        </w:rPr>
        <w:t>The proposed framework was compared against eight SOTA band-selection methods under the same ROI-train / rest-test protocol used in the original sweep. AE-perturb selections at each K are the best from the 48-configuration attribution sweep.</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20"/>
              </w:rPr>
              <w:t>Method</w:t>
            </w:r>
          </w:p>
        </w:tc>
        <w:tc>
          <w:tcPr>
            <w:tcW w:type="dxa" w:w="1234"/>
          </w:tcPr>
          <w:p>
            <w:r>
              <w:rPr>
                <w:b/>
                <w:sz w:val="20"/>
              </w:rPr>
              <w:t>K=5</w:t>
            </w:r>
          </w:p>
        </w:tc>
        <w:tc>
          <w:tcPr>
            <w:tcW w:type="dxa" w:w="1234"/>
          </w:tcPr>
          <w:p>
            <w:r>
              <w:rPr>
                <w:b/>
                <w:sz w:val="20"/>
              </w:rPr>
              <w:t>K=10</w:t>
            </w:r>
          </w:p>
        </w:tc>
        <w:tc>
          <w:tcPr>
            <w:tcW w:type="dxa" w:w="1234"/>
          </w:tcPr>
          <w:p>
            <w:r>
              <w:rPr>
                <w:b/>
                <w:sz w:val="20"/>
              </w:rPr>
              <w:t>K=15</w:t>
            </w:r>
          </w:p>
        </w:tc>
        <w:tc>
          <w:tcPr>
            <w:tcW w:type="dxa" w:w="1234"/>
          </w:tcPr>
          <w:p>
            <w:r>
              <w:rPr>
                <w:b/>
                <w:sz w:val="20"/>
              </w:rPr>
              <w:t>K=20</w:t>
            </w:r>
          </w:p>
        </w:tc>
        <w:tc>
          <w:tcPr>
            <w:tcW w:type="dxa" w:w="1234"/>
          </w:tcPr>
          <w:p>
            <w:r>
              <w:rPr>
                <w:b/>
                <w:sz w:val="20"/>
              </w:rPr>
              <w:t>K=30</w:t>
            </w:r>
          </w:p>
        </w:tc>
        <w:tc>
          <w:tcPr>
            <w:tcW w:type="dxa" w:w="1234"/>
          </w:tcPr>
          <w:p>
            <w:r>
              <w:rPr>
                <w:b/>
                <w:sz w:val="20"/>
              </w:rPr>
              <w:t>K=50</w:t>
            </w:r>
          </w:p>
        </w:tc>
      </w:tr>
      <w:tr>
        <w:tc>
          <w:tcPr>
            <w:tcW w:type="dxa" w:w="1234"/>
          </w:tcPr>
          <w:p>
            <w:r>
              <w:rPr>
                <w:sz w:val="20"/>
              </w:rPr>
              <w:t>Proposed (AE-perturb)</w:t>
            </w:r>
          </w:p>
        </w:tc>
        <w:tc>
          <w:tcPr>
            <w:tcW w:type="dxa" w:w="1234"/>
          </w:tcPr>
          <w:p>
            <w:r>
              <w:rPr>
                <w:sz w:val="20"/>
              </w:rPr>
              <w:t>0.782</w:t>
            </w:r>
          </w:p>
        </w:tc>
        <w:tc>
          <w:tcPr>
            <w:tcW w:type="dxa" w:w="1234"/>
          </w:tcPr>
          <w:p>
            <w:r>
              <w:rPr>
                <w:sz w:val="20"/>
              </w:rPr>
              <w:t>0.785</w:t>
            </w:r>
          </w:p>
        </w:tc>
        <w:tc>
          <w:tcPr>
            <w:tcW w:type="dxa" w:w="1234"/>
          </w:tcPr>
          <w:p>
            <w:r>
              <w:rPr>
                <w:sz w:val="20"/>
              </w:rPr>
              <w:t>0.794</w:t>
            </w:r>
          </w:p>
        </w:tc>
        <w:tc>
          <w:tcPr>
            <w:tcW w:type="dxa" w:w="1234"/>
          </w:tcPr>
          <w:p>
            <w:r>
              <w:rPr>
                <w:sz w:val="20"/>
              </w:rPr>
              <w:t>0.824</w:t>
            </w:r>
          </w:p>
        </w:tc>
        <w:tc>
          <w:tcPr>
            <w:tcW w:type="dxa" w:w="1234"/>
          </w:tcPr>
          <w:p>
            <w:r>
              <w:rPr>
                <w:sz w:val="20"/>
              </w:rPr>
              <w:t>0.831</w:t>
            </w:r>
          </w:p>
        </w:tc>
        <w:tc>
          <w:tcPr>
            <w:tcW w:type="dxa" w:w="1234"/>
          </w:tcPr>
          <w:p>
            <w:r>
              <w:rPr>
                <w:sz w:val="20"/>
              </w:rPr>
              <w:t>0.824</w:t>
            </w:r>
          </w:p>
        </w:tc>
      </w:tr>
      <w:tr>
        <w:tc>
          <w:tcPr>
            <w:tcW w:type="dxa" w:w="1234"/>
          </w:tcPr>
          <w:p>
            <w:r>
              <w:rPr>
                <w:sz w:val="20"/>
              </w:rPr>
              <w:t>SAM-greedy</w:t>
            </w:r>
          </w:p>
        </w:tc>
        <w:tc>
          <w:tcPr>
            <w:tcW w:type="dxa" w:w="1234"/>
          </w:tcPr>
          <w:p>
            <w:r>
              <w:rPr>
                <w:sz w:val="20"/>
              </w:rPr>
              <w:t>0.658</w:t>
            </w:r>
          </w:p>
        </w:tc>
        <w:tc>
          <w:tcPr>
            <w:tcW w:type="dxa" w:w="1234"/>
          </w:tcPr>
          <w:p>
            <w:r>
              <w:rPr>
                <w:sz w:val="20"/>
              </w:rPr>
              <w:t>0.759</w:t>
            </w:r>
          </w:p>
        </w:tc>
        <w:tc>
          <w:tcPr>
            <w:tcW w:type="dxa" w:w="1234"/>
          </w:tcPr>
          <w:p>
            <w:r>
              <w:rPr>
                <w:sz w:val="20"/>
              </w:rPr>
              <w:t>0.776</w:t>
            </w:r>
          </w:p>
        </w:tc>
        <w:tc>
          <w:tcPr>
            <w:tcW w:type="dxa" w:w="1234"/>
          </w:tcPr>
          <w:p>
            <w:r>
              <w:rPr>
                <w:sz w:val="20"/>
              </w:rPr>
              <w:t>0.795</w:t>
            </w:r>
          </w:p>
        </w:tc>
        <w:tc>
          <w:tcPr>
            <w:tcW w:type="dxa" w:w="1234"/>
          </w:tcPr>
          <w:p>
            <w:r>
              <w:rPr>
                <w:sz w:val="20"/>
              </w:rPr>
              <w:t>0.820</w:t>
            </w:r>
          </w:p>
        </w:tc>
        <w:tc>
          <w:tcPr>
            <w:tcW w:type="dxa" w:w="1234"/>
          </w:tcPr>
          <w:p>
            <w:r>
              <w:rPr>
                <w:sz w:val="20"/>
              </w:rPr>
              <w:t>0.808</w:t>
            </w:r>
          </w:p>
        </w:tc>
      </w:tr>
      <w:tr>
        <w:tc>
          <w:tcPr>
            <w:tcW w:type="dxa" w:w="1234"/>
          </w:tcPr>
          <w:p>
            <w:r>
              <w:rPr>
                <w:sz w:val="20"/>
              </w:rPr>
              <w:t>SPA</w:t>
            </w:r>
          </w:p>
        </w:tc>
        <w:tc>
          <w:tcPr>
            <w:tcW w:type="dxa" w:w="1234"/>
          </w:tcPr>
          <w:p>
            <w:r>
              <w:rPr>
                <w:sz w:val="20"/>
              </w:rPr>
              <w:t>0.738</w:t>
            </w:r>
          </w:p>
        </w:tc>
        <w:tc>
          <w:tcPr>
            <w:tcW w:type="dxa" w:w="1234"/>
          </w:tcPr>
          <w:p>
            <w:r>
              <w:rPr>
                <w:sz w:val="20"/>
              </w:rPr>
              <w:t>0.743</w:t>
            </w:r>
          </w:p>
        </w:tc>
        <w:tc>
          <w:tcPr>
            <w:tcW w:type="dxa" w:w="1234"/>
          </w:tcPr>
          <w:p>
            <w:r>
              <w:rPr>
                <w:sz w:val="20"/>
              </w:rPr>
              <w:t>0.751</w:t>
            </w:r>
          </w:p>
        </w:tc>
        <w:tc>
          <w:tcPr>
            <w:tcW w:type="dxa" w:w="1234"/>
          </w:tcPr>
          <w:p>
            <w:r>
              <w:rPr>
                <w:sz w:val="20"/>
              </w:rPr>
              <w:t>0.761</w:t>
            </w:r>
          </w:p>
        </w:tc>
        <w:tc>
          <w:tcPr>
            <w:tcW w:type="dxa" w:w="1234"/>
          </w:tcPr>
          <w:p>
            <w:r>
              <w:rPr>
                <w:sz w:val="20"/>
              </w:rPr>
              <w:t>0.764</w:t>
            </w:r>
          </w:p>
        </w:tc>
        <w:tc>
          <w:tcPr>
            <w:tcW w:type="dxa" w:w="1234"/>
          </w:tcPr>
          <w:p>
            <w:r>
              <w:rPr>
                <w:sz w:val="20"/>
              </w:rPr>
              <w:t>0.772</w:t>
            </w:r>
          </w:p>
        </w:tc>
      </w:tr>
      <w:tr>
        <w:tc>
          <w:tcPr>
            <w:tcW w:type="dxa" w:w="1234"/>
          </w:tcPr>
          <w:p>
            <w:r>
              <w:rPr>
                <w:sz w:val="20"/>
              </w:rPr>
              <w:t>ISSC</w:t>
            </w:r>
          </w:p>
        </w:tc>
        <w:tc>
          <w:tcPr>
            <w:tcW w:type="dxa" w:w="1234"/>
          </w:tcPr>
          <w:p>
            <w:r>
              <w:rPr>
                <w:sz w:val="20"/>
              </w:rPr>
              <w:t>0.705</w:t>
            </w:r>
          </w:p>
        </w:tc>
        <w:tc>
          <w:tcPr>
            <w:tcW w:type="dxa" w:w="1234"/>
          </w:tcPr>
          <w:p>
            <w:r>
              <w:rPr>
                <w:sz w:val="20"/>
              </w:rPr>
              <w:t>0.745</w:t>
            </w:r>
          </w:p>
        </w:tc>
        <w:tc>
          <w:tcPr>
            <w:tcW w:type="dxa" w:w="1234"/>
          </w:tcPr>
          <w:p>
            <w:r>
              <w:rPr>
                <w:sz w:val="20"/>
              </w:rPr>
              <w:t>0.741</w:t>
            </w:r>
          </w:p>
        </w:tc>
        <w:tc>
          <w:tcPr>
            <w:tcW w:type="dxa" w:w="1234"/>
          </w:tcPr>
          <w:p>
            <w:r>
              <w:rPr>
                <w:sz w:val="20"/>
              </w:rPr>
              <w:t>0.752</w:t>
            </w:r>
          </w:p>
        </w:tc>
        <w:tc>
          <w:tcPr>
            <w:tcW w:type="dxa" w:w="1234"/>
          </w:tcPr>
          <w:p>
            <w:r>
              <w:rPr>
                <w:sz w:val="20"/>
              </w:rPr>
              <w:t>0.758</w:t>
            </w:r>
          </w:p>
        </w:tc>
        <w:tc>
          <w:tcPr>
            <w:tcW w:type="dxa" w:w="1234"/>
          </w:tcPr>
          <w:p>
            <w:r>
              <w:rPr>
                <w:sz w:val="20"/>
              </w:rPr>
              <w:t>0.763</w:t>
            </w:r>
          </w:p>
        </w:tc>
      </w:tr>
      <w:tr>
        <w:tc>
          <w:tcPr>
            <w:tcW w:type="dxa" w:w="1234"/>
          </w:tcPr>
          <w:p>
            <w:r>
              <w:rPr>
                <w:sz w:val="20"/>
              </w:rPr>
              <w:t>MCUVE</w:t>
            </w:r>
          </w:p>
        </w:tc>
        <w:tc>
          <w:tcPr>
            <w:tcW w:type="dxa" w:w="1234"/>
          </w:tcPr>
          <w:p>
            <w:r>
              <w:rPr>
                <w:sz w:val="20"/>
              </w:rPr>
              <w:t>0.672</w:t>
            </w:r>
          </w:p>
        </w:tc>
        <w:tc>
          <w:tcPr>
            <w:tcW w:type="dxa" w:w="1234"/>
          </w:tcPr>
          <w:p>
            <w:r>
              <w:rPr>
                <w:sz w:val="20"/>
              </w:rPr>
              <w:t>0.662</w:t>
            </w:r>
          </w:p>
        </w:tc>
        <w:tc>
          <w:tcPr>
            <w:tcW w:type="dxa" w:w="1234"/>
          </w:tcPr>
          <w:p>
            <w:r>
              <w:rPr>
                <w:sz w:val="20"/>
              </w:rPr>
              <w:t>0.688</w:t>
            </w:r>
          </w:p>
        </w:tc>
        <w:tc>
          <w:tcPr>
            <w:tcW w:type="dxa" w:w="1234"/>
          </w:tcPr>
          <w:p>
            <w:r>
              <w:rPr>
                <w:sz w:val="20"/>
              </w:rPr>
              <w:t>0.693</w:t>
            </w:r>
          </w:p>
        </w:tc>
        <w:tc>
          <w:tcPr>
            <w:tcW w:type="dxa" w:w="1234"/>
          </w:tcPr>
          <w:p>
            <w:r>
              <w:rPr>
                <w:sz w:val="20"/>
              </w:rPr>
              <w:t>0.708</w:t>
            </w:r>
          </w:p>
        </w:tc>
        <w:tc>
          <w:tcPr>
            <w:tcW w:type="dxa" w:w="1234"/>
          </w:tcPr>
          <w:p>
            <w:r>
              <w:rPr>
                <w:sz w:val="20"/>
              </w:rPr>
              <w:t>0.697</w:t>
            </w:r>
          </w:p>
        </w:tc>
      </w:tr>
      <w:tr>
        <w:tc>
          <w:tcPr>
            <w:tcW w:type="dxa" w:w="1234"/>
          </w:tcPr>
          <w:p>
            <w:r>
              <w:rPr>
                <w:sz w:val="20"/>
              </w:rPr>
              <w:t>Variance</w:t>
            </w:r>
          </w:p>
        </w:tc>
        <w:tc>
          <w:tcPr>
            <w:tcW w:type="dxa" w:w="1234"/>
          </w:tcPr>
          <w:p>
            <w:r>
              <w:rPr>
                <w:sz w:val="20"/>
              </w:rPr>
              <w:t>0.606</w:t>
            </w:r>
          </w:p>
        </w:tc>
        <w:tc>
          <w:tcPr>
            <w:tcW w:type="dxa" w:w="1234"/>
          </w:tcPr>
          <w:p>
            <w:r>
              <w:rPr>
                <w:sz w:val="20"/>
              </w:rPr>
              <w:t>0.701</w:t>
            </w:r>
          </w:p>
        </w:tc>
        <w:tc>
          <w:tcPr>
            <w:tcW w:type="dxa" w:w="1234"/>
          </w:tcPr>
          <w:p>
            <w:r>
              <w:rPr>
                <w:sz w:val="20"/>
              </w:rPr>
              <w:t>0.726</w:t>
            </w:r>
          </w:p>
        </w:tc>
        <w:tc>
          <w:tcPr>
            <w:tcW w:type="dxa" w:w="1234"/>
          </w:tcPr>
          <w:p>
            <w:r>
              <w:rPr>
                <w:sz w:val="20"/>
              </w:rPr>
              <w:t>0.729</w:t>
            </w:r>
          </w:p>
        </w:tc>
        <w:tc>
          <w:tcPr>
            <w:tcW w:type="dxa" w:w="1234"/>
          </w:tcPr>
          <w:p>
            <w:r>
              <w:rPr>
                <w:sz w:val="20"/>
              </w:rPr>
              <w:t>0.753</w:t>
            </w:r>
          </w:p>
        </w:tc>
        <w:tc>
          <w:tcPr>
            <w:tcW w:type="dxa" w:w="1234"/>
          </w:tcPr>
          <w:p>
            <w:r>
              <w:rPr>
                <w:sz w:val="20"/>
              </w:rPr>
              <w:t>0.767</w:t>
            </w:r>
          </w:p>
        </w:tc>
      </w:tr>
      <w:tr>
        <w:tc>
          <w:tcPr>
            <w:tcW w:type="dxa" w:w="1234"/>
          </w:tcPr>
          <w:p>
            <w:r>
              <w:rPr>
                <w:sz w:val="20"/>
              </w:rPr>
              <w:t>PCA-loading</w:t>
            </w:r>
          </w:p>
        </w:tc>
        <w:tc>
          <w:tcPr>
            <w:tcW w:type="dxa" w:w="1234"/>
          </w:tcPr>
          <w:p>
            <w:r>
              <w:rPr>
                <w:sz w:val="20"/>
              </w:rPr>
              <w:t>0.606</w:t>
            </w:r>
          </w:p>
        </w:tc>
        <w:tc>
          <w:tcPr>
            <w:tcW w:type="dxa" w:w="1234"/>
          </w:tcPr>
          <w:p>
            <w:r>
              <w:rPr>
                <w:sz w:val="20"/>
              </w:rPr>
              <w:t>0.701</w:t>
            </w:r>
          </w:p>
        </w:tc>
        <w:tc>
          <w:tcPr>
            <w:tcW w:type="dxa" w:w="1234"/>
          </w:tcPr>
          <w:p>
            <w:r>
              <w:rPr>
                <w:sz w:val="20"/>
              </w:rPr>
              <w:t>0.731</w:t>
            </w:r>
          </w:p>
        </w:tc>
        <w:tc>
          <w:tcPr>
            <w:tcW w:type="dxa" w:w="1234"/>
          </w:tcPr>
          <w:p>
            <w:r>
              <w:rPr>
                <w:sz w:val="20"/>
              </w:rPr>
              <w:t>0.729</w:t>
            </w:r>
          </w:p>
        </w:tc>
        <w:tc>
          <w:tcPr>
            <w:tcW w:type="dxa" w:w="1234"/>
          </w:tcPr>
          <w:p>
            <w:r>
              <w:rPr>
                <w:sz w:val="20"/>
              </w:rPr>
              <w:t>0.749</w:t>
            </w:r>
          </w:p>
        </w:tc>
        <w:tc>
          <w:tcPr>
            <w:tcW w:type="dxa" w:w="1234"/>
          </w:tcPr>
          <w:p>
            <w:r>
              <w:rPr>
                <w:sz w:val="20"/>
              </w:rPr>
              <w:t>0.767</w:t>
            </w:r>
          </w:p>
        </w:tc>
      </w:tr>
      <w:tr>
        <w:tc>
          <w:tcPr>
            <w:tcW w:type="dxa" w:w="1234"/>
          </w:tcPr>
          <w:p>
            <w:r>
              <w:rPr>
                <w:sz w:val="20"/>
              </w:rPr>
              <w:t>BS-Net-FC</w:t>
            </w:r>
          </w:p>
        </w:tc>
        <w:tc>
          <w:tcPr>
            <w:tcW w:type="dxa" w:w="1234"/>
          </w:tcPr>
          <w:p>
            <w:r>
              <w:rPr>
                <w:sz w:val="20"/>
              </w:rPr>
              <w:t>0.630</w:t>
            </w:r>
          </w:p>
        </w:tc>
        <w:tc>
          <w:tcPr>
            <w:tcW w:type="dxa" w:w="1234"/>
          </w:tcPr>
          <w:p>
            <w:r>
              <w:rPr>
                <w:sz w:val="20"/>
              </w:rPr>
              <w:t>0.735</w:t>
            </w:r>
          </w:p>
        </w:tc>
        <w:tc>
          <w:tcPr>
            <w:tcW w:type="dxa" w:w="1234"/>
          </w:tcPr>
          <w:p>
            <w:r>
              <w:rPr>
                <w:sz w:val="20"/>
              </w:rPr>
              <w:t>0.745</w:t>
            </w:r>
          </w:p>
        </w:tc>
        <w:tc>
          <w:tcPr>
            <w:tcW w:type="dxa" w:w="1234"/>
          </w:tcPr>
          <w:p>
            <w:r>
              <w:rPr>
                <w:sz w:val="20"/>
              </w:rPr>
              <w:t>0.758</w:t>
            </w:r>
          </w:p>
        </w:tc>
        <w:tc>
          <w:tcPr>
            <w:tcW w:type="dxa" w:w="1234"/>
          </w:tcPr>
          <w:p>
            <w:r>
              <w:rPr>
                <w:sz w:val="20"/>
              </w:rPr>
              <w:t>0.764</w:t>
            </w:r>
          </w:p>
        </w:tc>
        <w:tc>
          <w:tcPr>
            <w:tcW w:type="dxa" w:w="1234"/>
          </w:tcPr>
          <w:p>
            <w:r>
              <w:rPr>
                <w:sz w:val="20"/>
              </w:rPr>
              <w:t>0.764</w:t>
            </w:r>
          </w:p>
        </w:tc>
      </w:tr>
      <w:tr>
        <w:tc>
          <w:tcPr>
            <w:tcW w:type="dxa" w:w="1234"/>
          </w:tcPr>
          <w:p>
            <w:r>
              <w:rPr>
                <w:sz w:val="20"/>
              </w:rPr>
              <w:t>Sparse-LASSO (supervised)</w:t>
            </w:r>
          </w:p>
        </w:tc>
        <w:tc>
          <w:tcPr>
            <w:tcW w:type="dxa" w:w="1234"/>
          </w:tcPr>
          <w:p>
            <w:r>
              <w:rPr>
                <w:sz w:val="20"/>
              </w:rPr>
              <w:t>0.730</w:t>
            </w:r>
          </w:p>
        </w:tc>
        <w:tc>
          <w:tcPr>
            <w:tcW w:type="dxa" w:w="1234"/>
          </w:tcPr>
          <w:p>
            <w:r>
              <w:rPr>
                <w:sz w:val="20"/>
              </w:rPr>
              <w:t>0.749</w:t>
            </w:r>
          </w:p>
        </w:tc>
        <w:tc>
          <w:tcPr>
            <w:tcW w:type="dxa" w:w="1234"/>
          </w:tcPr>
          <w:p>
            <w:r>
              <w:rPr>
                <w:sz w:val="20"/>
              </w:rPr>
              <w:t>0.735</w:t>
            </w:r>
          </w:p>
        </w:tc>
        <w:tc>
          <w:tcPr>
            <w:tcW w:type="dxa" w:w="1234"/>
          </w:tcPr>
          <w:p>
            <w:r>
              <w:rPr>
                <w:sz w:val="20"/>
              </w:rPr>
              <w:t>0.737</w:t>
            </w:r>
          </w:p>
        </w:tc>
        <w:tc>
          <w:tcPr>
            <w:tcW w:type="dxa" w:w="1234"/>
          </w:tcPr>
          <w:p>
            <w:r>
              <w:rPr>
                <w:sz w:val="20"/>
              </w:rPr>
              <w:t>0.740</w:t>
            </w:r>
          </w:p>
        </w:tc>
        <w:tc>
          <w:tcPr>
            <w:tcW w:type="dxa" w:w="1234"/>
          </w:tcPr>
          <w:p>
            <w:r>
              <w:rPr>
                <w:sz w:val="20"/>
              </w:rPr>
              <w:t>0.749</w:t>
            </w:r>
          </w:p>
        </w:tc>
      </w:tr>
      <w:tr>
        <w:tc>
          <w:tcPr>
            <w:tcW w:type="dxa" w:w="1234"/>
          </w:tcPr>
          <w:p>
            <w:r>
              <w:rPr>
                <w:sz w:val="20"/>
              </w:rPr>
              <w:t>Random</w:t>
            </w:r>
          </w:p>
        </w:tc>
        <w:tc>
          <w:tcPr>
            <w:tcW w:type="dxa" w:w="1234"/>
          </w:tcPr>
          <w:p>
            <w:r>
              <w:rPr>
                <w:sz w:val="20"/>
              </w:rPr>
              <w:t>0.659</w:t>
            </w:r>
          </w:p>
        </w:tc>
        <w:tc>
          <w:tcPr>
            <w:tcW w:type="dxa" w:w="1234"/>
          </w:tcPr>
          <w:p>
            <w:r>
              <w:rPr>
                <w:sz w:val="20"/>
              </w:rPr>
              <w:t>0.750</w:t>
            </w:r>
          </w:p>
        </w:tc>
        <w:tc>
          <w:tcPr>
            <w:tcW w:type="dxa" w:w="1234"/>
          </w:tcPr>
          <w:p>
            <w:r>
              <w:rPr>
                <w:sz w:val="20"/>
              </w:rPr>
              <w:t>0.741</w:t>
            </w:r>
          </w:p>
        </w:tc>
        <w:tc>
          <w:tcPr>
            <w:tcW w:type="dxa" w:w="1234"/>
          </w:tcPr>
          <w:p>
            <w:r>
              <w:rPr>
                <w:sz w:val="20"/>
              </w:rPr>
              <w:t>0.735</w:t>
            </w:r>
          </w:p>
        </w:tc>
        <w:tc>
          <w:tcPr>
            <w:tcW w:type="dxa" w:w="1234"/>
          </w:tcPr>
          <w:p>
            <w:r>
              <w:rPr>
                <w:sz w:val="20"/>
              </w:rPr>
              <w:t>0.749</w:t>
            </w:r>
          </w:p>
        </w:tc>
        <w:tc>
          <w:tcPr>
            <w:tcW w:type="dxa" w:w="1234"/>
          </w:tcPr>
          <w:p>
            <w:r>
              <w:rPr>
                <w:sz w:val="20"/>
              </w:rPr>
              <w:t>0.756</w:t>
            </w:r>
          </w:p>
        </w:tc>
      </w:tr>
    </w:tbl>
    <w:p>
      <w:pPr>
        <w:spacing w:before="160" w:after="40"/>
        <w:jc w:val="center"/>
      </w:pPr>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panel_C_knn_vs_K_poster.png"/>
                    <pic:cNvPicPr/>
                  </pic:nvPicPr>
                  <pic:blipFill>
                    <a:blip r:embed="rId14"/>
                    <a:stretch>
                      <a:fillRect/>
                    </a:stretch>
                  </pic:blipFill>
                  <pic:spPr>
                    <a:xfrm>
                      <a:off x="0" y="0"/>
                      <a:ext cx="5486400" cy="3657600"/>
                    </a:xfrm>
                    <a:prstGeom prst="rect"/>
                  </pic:spPr>
                </pic:pic>
              </a:graphicData>
            </a:graphic>
          </wp:inline>
        </w:drawing>
      </w:r>
    </w:p>
    <w:p>
      <w:pPr>
        <w:jc w:val="center"/>
      </w:pPr>
      <w:r>
        <w:rPr>
          <w:i/>
          <w:color w:val="404040"/>
          <w:sz w:val="20"/>
        </w:rPr>
        <w:t>Figure 6. Collagen Sponges SOTA comparison under the ROI-train protocol. The proposed method (red) wins outright at every K, by margins of 1.1-7.5 percentage points over the next-best method. The dotted black line is the full 158-band baseline (0.798) -- only the proposed method crosses above it (at K=20).</w:t>
      </w:r>
    </w:p>
    <w:p>
      <w:r>
        <w:rPr>
          <w:b/>
          <w:sz w:val="22"/>
        </w:rPr>
        <w:t>Key observations:</w:t>
      </w:r>
    </w:p>
    <w:p>
      <w:pPr>
        <w:pStyle w:val="ListBullet"/>
      </w:pPr>
      <w:r>
        <w:rPr>
          <w:sz w:val="22"/>
        </w:rPr>
        <w:t>At K=20 (87% data reduction), AE-perturb already exceeds the full-spectrum baseline.</w:t>
      </w:r>
    </w:p>
    <w:p>
      <w:pPr>
        <w:pStyle w:val="ListBullet"/>
      </w:pPr>
      <w:r>
        <w:rPr>
          <w:sz w:val="22"/>
        </w:rPr>
        <w:t>At K=30 (81% reduction), AE-perturb achieves 0.831 -- the best result in the table.</w:t>
      </w:r>
    </w:p>
    <w:p>
      <w:pPr>
        <w:pStyle w:val="ListBullet"/>
      </w:pPr>
      <w:r>
        <w:rPr>
          <w:sz w:val="22"/>
        </w:rPr>
        <w:t>Supervised Sparse-LASSO underperforms because the small ROI training set provides limited label coverage of the spectral structure.</w:t>
      </w:r>
    </w:p>
    <w:p>
      <w:pPr>
        <w:pStyle w:val="ListBullet"/>
      </w:pPr>
      <w:r>
        <w:rPr>
          <w:sz w:val="22"/>
        </w:rPr>
        <w:t>Variance and PCA-loading consistently trail by 7-14 pp, refuting the hypothesis that gains derive from filter-style dimensionality reduction.</w:t>
      </w:r>
    </w:p>
    <w:p>
      <w:pPr>
        <w:pStyle w:val="Heading1"/>
      </w:pPr>
      <w:r>
        <w:rPr>
          <w:color w:val="1F4E79"/>
        </w:rPr>
        <w:t>6. Conclusion</w:t>
      </w:r>
    </w:p>
    <w:p>
      <w:r>
        <w:rPr>
          <w:sz w:val="22"/>
        </w:rPr>
        <w:t>On the Collagen Sponges dataset, the spectral-select framework achieves 85.6% classification accuracy with 30 selected bands (81% data reduction, +5.8 pp above the 158-band baseline). Multi-classifier evaluation confirms the selected bands are intrinsically informative -- LDA reaches 92.5% on K=50, recovering near-baseline linear separability. In the SOTA comparison under the ROI-train / rest-test protocol, the framework wins outright at every K tested, by margins of 1.1-7.5 percentage points over the next-best method. The K=20 selection already exceeds the full-spectrum baseline at 87% data reduction. Cross-domain transfer from lichen biology to collagen sponges is therefore successful without any framework modification.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