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20CB" w14:textId="77777777" w:rsidR="000C40C0" w:rsidRDefault="000C40C0">
      <w:pPr>
        <w:pStyle w:val="Listofauthors"/>
        <w:rPr>
          <w:b/>
          <w:bCs w:val="0"/>
          <w:i w:val="0"/>
          <w:caps/>
          <w:sz w:val="26"/>
        </w:rPr>
      </w:pPr>
      <w:r>
        <w:rPr>
          <w:b/>
          <w:bCs w:val="0"/>
          <w:i w:val="0"/>
          <w:caps/>
          <w:sz w:val="26"/>
        </w:rPr>
        <w:t>Dimensionality Reduction</w:t>
      </w:r>
      <w:r w:rsidRPr="000C40C0">
        <w:rPr>
          <w:b/>
          <w:bCs w:val="0"/>
          <w:i w:val="0"/>
          <w:caps/>
          <w:sz w:val="26"/>
        </w:rPr>
        <w:t xml:space="preserve"> of Multi-Excitation Fluorescence Imaging of Pepsin-Digested Collagen Scaffolds </w:t>
      </w:r>
    </w:p>
    <w:p w14:paraId="6B522902" w14:textId="3222C37B" w:rsidR="00063903" w:rsidRDefault="00000000">
      <w:pPr>
        <w:pStyle w:val="Listofauthors"/>
      </w:pPr>
      <w:r>
        <w:t>Narek Meloyan</w:t>
      </w:r>
      <w:r>
        <w:rPr>
          <w:vertAlign w:val="superscript"/>
        </w:rPr>
        <w:t>1,2</w:t>
      </w:r>
      <w:r>
        <w:t>, Kristina Ghahramanyan</w:t>
      </w:r>
      <w:r>
        <w:rPr>
          <w:vertAlign w:val="superscript"/>
        </w:rPr>
        <w:t>2</w:t>
      </w:r>
      <w:r>
        <w:t>, Narine Sarvazyan</w:t>
      </w:r>
      <w:r>
        <w:rPr>
          <w:vertAlign w:val="superscript"/>
        </w:rPr>
        <w:t>1,2,3</w:t>
      </w:r>
    </w:p>
    <w:p w14:paraId="49FC1C46" w14:textId="77777777" w:rsidR="00063903" w:rsidRDefault="00000000">
      <w:pPr>
        <w:pStyle w:val="Listofauthors"/>
      </w:pPr>
      <w:r>
        <w:rPr>
          <w:vertAlign w:val="superscript"/>
        </w:rPr>
        <w:t>1</w:t>
      </w:r>
      <w:r>
        <w:t>American University of Armenia, Yerevan, Armenia</w:t>
      </w:r>
    </w:p>
    <w:p w14:paraId="67D58E81" w14:textId="77777777" w:rsidR="00063903" w:rsidRDefault="00000000">
      <w:pPr>
        <w:pStyle w:val="Listofauthors"/>
      </w:pPr>
      <w:r>
        <w:rPr>
          <w:vertAlign w:val="superscript"/>
        </w:rPr>
        <w:t>2</w:t>
      </w:r>
      <w:r>
        <w:t>L. A. Orbeli Institute of Physiology NAS RA, Yerevan, Armenia</w:t>
      </w:r>
    </w:p>
    <w:p w14:paraId="06C8EC58" w14:textId="77777777" w:rsidR="00063903" w:rsidRDefault="00000000">
      <w:pPr>
        <w:pStyle w:val="Listofauthors"/>
      </w:pPr>
      <w:r>
        <w:rPr>
          <w:vertAlign w:val="superscript"/>
        </w:rPr>
        <w:t>3</w:t>
      </w:r>
      <w:r>
        <w:t>George Washington University, Washington, DC, USA</w:t>
      </w:r>
    </w:p>
    <w:p w14:paraId="651F9AA6" w14:textId="3C383CAC" w:rsidR="00063903" w:rsidRDefault="00000000">
      <w:pPr>
        <w:pStyle w:val="Textofabstract"/>
      </w:pPr>
      <w:r>
        <w:t>Multi-excitation hyperspectral imaging (ME-HSI) creates a 4D dataset by varying the excitation wavelength of an emission-based HSI acquisition, which improves the discrimination of materials that contain mixed fluorophores. The resulting cubes are rich but</w:t>
      </w:r>
      <w:r w:rsidR="000C40C0">
        <w:t xml:space="preserve"> can potentially be</w:t>
      </w:r>
      <w:r>
        <w:t xml:space="preserve"> highly redundant, and band selection methods developed for 3D HSI [</w:t>
      </w:r>
      <w:r w:rsidR="000C40C0">
        <w:t>1</w:t>
      </w:r>
      <w:r>
        <w:t xml:space="preserve">] </w:t>
      </w:r>
      <w:r w:rsidR="000C40C0">
        <w:t xml:space="preserve">usually </w:t>
      </w:r>
      <w:r>
        <w:t xml:space="preserve">fail to capture the nonlinear cross-excitation correlations </w:t>
      </w:r>
      <w:r w:rsidR="000C40C0">
        <w:t>specific</w:t>
      </w:r>
      <w:r>
        <w:t xml:space="preserve"> to ME-HSI. In prior work we introduced a deep-learning framework that addresses this gap in three stages: (1) a 3D convolutional autoencoder [</w:t>
      </w:r>
      <w:r w:rsidR="000C40C0">
        <w:t>2</w:t>
      </w:r>
      <w:r>
        <w:t>] with parallel excitation branches learns a unified latent representation of the 4D cube, (2) perturbation-based attribution traces reconstruction sensitivity to individual excitation–emission wavelength pairs, and (3) Maximum Marginal Relevance (MMR) selection balances informativeness with spectral diversity [</w:t>
      </w:r>
      <w:r w:rsidR="000C40C0">
        <w:t>3</w:t>
      </w:r>
      <w:r>
        <w:t>]. Here we extend the framework to a new, chemical</w:t>
      </w:r>
      <w:r w:rsidR="000C40C0">
        <w:t xml:space="preserve"> </w:t>
      </w:r>
      <w:r>
        <w:t>sample</w:t>
      </w:r>
      <w:r w:rsidR="000C40C0">
        <w:t>, applying the enhanced framework on</w:t>
      </w:r>
      <w:r>
        <w:t xml:space="preserve"> pepsin-digested collagen scaffolds with three crosslinker concentrations (0.002%, 0.0075%, 0.013%), imaged at six excitations (310–400 nm) with emissions 420–720 nm (10 nm step), yielding 158 excitation–emission band pairs per pixel.</w:t>
      </w:r>
    </w:p>
    <w:p w14:paraId="087CB25E" w14:textId="77777777" w:rsidR="00063903" w:rsidRDefault="00000000">
      <w:pPr>
        <w:pStyle w:val="Figurecaption"/>
      </w:pPr>
      <w:r>
        <w:rPr>
          <w:noProof/>
        </w:rPr>
        <w:drawing>
          <wp:inline distT="0" distB="0" distL="0" distR="0" wp14:anchorId="364E9849" wp14:editId="0034E91D">
            <wp:extent cx="5303520" cy="2893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asim_fig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6E61" w14:textId="77005166" w:rsidR="00063903" w:rsidRDefault="00000000">
      <w:pPr>
        <w:pStyle w:val="Figurecaption"/>
      </w:pPr>
      <w:r>
        <w:t xml:space="preserve">Fig. 1. Classification accuracy (KNN, k=5) versus number of selected bands across 432 configurations on the pepsin-digested collagen dataset. Blue band = min–max range; black = mean; green dashed = best per </w:t>
      </w:r>
      <w:r>
        <w:lastRenderedPageBreak/>
        <w:t>band count; red dashed = full-spectrum baseline (79.8%). Peak accuracy (85.6%) is reached at 30 bands</w:t>
      </w:r>
      <w:r w:rsidR="000C40C0">
        <w:t xml:space="preserve"> - </w:t>
      </w:r>
      <w:r>
        <w:t>81% data reduction.</w:t>
      </w:r>
    </w:p>
    <w:p w14:paraId="743E5BD9" w14:textId="212A7258" w:rsidR="00063903" w:rsidRDefault="00000000">
      <w:pPr>
        <w:pStyle w:val="Textofabstract"/>
      </w:pPr>
      <w:r>
        <w:t>Across 432 configurations, every band count between 5 and 130 exceeded the 158-band KNN baseline of 79.8%; peak accuracy reached 85.6% with 30 bands (81% compression, Fig. 1). The same selected wavelengths were evaluated with nine additional classifiers (LDA, linear and RBF SVM, random forests, gradient boosting, MLP). Linear Discriminant Analysis achieved 84.6% with only 5 bands</w:t>
      </w:r>
      <w:r w:rsidR="000C40C0">
        <w:t xml:space="preserve"> (97% reduction) and </w:t>
      </w:r>
      <w:r>
        <w:t xml:space="preserve">92.5% with 50 </w:t>
      </w:r>
      <w:r w:rsidR="000C40C0">
        <w:t>bands (68% reduction)</w:t>
      </w:r>
      <w:r>
        <w:t xml:space="preserve">; all ten classifiers matched or exceeded their own baselines at 30–50 bands, confirming that the selected wavelengths carry classifier-independent discriminative information. These results demonstrate that the framework </w:t>
      </w:r>
      <w:r w:rsidR="000C40C0">
        <w:t>is generalizable</w:t>
      </w:r>
      <w:r>
        <w:t>, enabling shorter acquisitions with no loss of discriminative power</w:t>
      </w:r>
      <w:r w:rsidR="000C40C0">
        <w:t xml:space="preserve"> and autonomous, unsupervised information detection pipeline</w:t>
      </w:r>
      <w:r>
        <w:t>.</w:t>
      </w:r>
    </w:p>
    <w:p w14:paraId="17568128" w14:textId="77777777" w:rsidR="00063903" w:rsidRDefault="00000000">
      <w:pPr>
        <w:pStyle w:val="Textofabstract"/>
      </w:pPr>
      <w:r>
        <w:t>References</w:t>
      </w:r>
    </w:p>
    <w:p w14:paraId="2683105E" w14:textId="3C52A1F4" w:rsidR="00063903" w:rsidRDefault="000C40C0">
      <w:pPr>
        <w:pStyle w:val="Referencelist"/>
      </w:pPr>
      <w:r>
        <w:t>1</w:t>
      </w:r>
      <w:r w:rsidR="00000000">
        <w:t>. W. Sun, Q. Du. Hyperspectral band selection: a review, IEEE Geosci. Remote Sens. Mag. 7 (2019) 118–139.</w:t>
      </w:r>
    </w:p>
    <w:p w14:paraId="0D179E93" w14:textId="4E52ADF1" w:rsidR="00063903" w:rsidRDefault="000C40C0">
      <w:pPr>
        <w:pStyle w:val="Referencelist"/>
      </w:pPr>
      <w:r>
        <w:t>2</w:t>
      </w:r>
      <w:r w:rsidR="00000000">
        <w:t>. G. E. Hinton, R. R. Salakhutdinov. Reducing the dimensionality of data with neural networks, Science 313 (2006) 504–507.</w:t>
      </w:r>
    </w:p>
    <w:p w14:paraId="5E2B1843" w14:textId="5CFB94F2" w:rsidR="00063903" w:rsidRDefault="000C40C0">
      <w:pPr>
        <w:pStyle w:val="Referencelist"/>
      </w:pPr>
      <w:r>
        <w:t>3</w:t>
      </w:r>
      <w:r w:rsidR="00000000">
        <w:t>. J. Carbonell, J. Goldstein. The use of MMR, diversity-based reranking for reordering documents and producing summaries, Proc. ACM SIGIR (1998) 335–336.</w:t>
      </w:r>
    </w:p>
    <w:sectPr w:rsidR="00063903" w:rsidSect="00381437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en Sans">
    <w:altName w:val="Calibri"/>
    <w:panose1 w:val="020B0606030504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41"/>
    <w:rsid w:val="00063903"/>
    <w:rsid w:val="000C40C0"/>
    <w:rsid w:val="00102409"/>
    <w:rsid w:val="00122D93"/>
    <w:rsid w:val="00147503"/>
    <w:rsid w:val="001B627C"/>
    <w:rsid w:val="00287377"/>
    <w:rsid w:val="002B5213"/>
    <w:rsid w:val="00351D1A"/>
    <w:rsid w:val="003610B4"/>
    <w:rsid w:val="00381437"/>
    <w:rsid w:val="0038269C"/>
    <w:rsid w:val="0046519F"/>
    <w:rsid w:val="00487F8C"/>
    <w:rsid w:val="004A54F3"/>
    <w:rsid w:val="004C73AB"/>
    <w:rsid w:val="005340E1"/>
    <w:rsid w:val="00543212"/>
    <w:rsid w:val="005F2775"/>
    <w:rsid w:val="0061416F"/>
    <w:rsid w:val="006C2442"/>
    <w:rsid w:val="006F6CD2"/>
    <w:rsid w:val="007216B2"/>
    <w:rsid w:val="008102C1"/>
    <w:rsid w:val="00853741"/>
    <w:rsid w:val="0096475A"/>
    <w:rsid w:val="009B7392"/>
    <w:rsid w:val="009F49AE"/>
    <w:rsid w:val="00A00C42"/>
    <w:rsid w:val="00A10367"/>
    <w:rsid w:val="00B462C8"/>
    <w:rsid w:val="00B82D3C"/>
    <w:rsid w:val="00BF1ABD"/>
    <w:rsid w:val="00BF3CF1"/>
    <w:rsid w:val="00C369E3"/>
    <w:rsid w:val="00C53133"/>
    <w:rsid w:val="00D768BC"/>
    <w:rsid w:val="00D96C04"/>
    <w:rsid w:val="00DA4BFE"/>
    <w:rsid w:val="00F45C55"/>
    <w:rsid w:val="00FD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A47A5"/>
  <w15:chartTrackingRefBased/>
  <w15:docId w15:val="{D62CF68C-9264-6D47-BFCB-38DAC724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75A"/>
    <w:pPr>
      <w:spacing w:after="120" w:line="360" w:lineRule="auto"/>
      <w:ind w:left="170" w:right="170"/>
      <w:jc w:val="both"/>
    </w:pPr>
    <w:rPr>
      <w:rFonts w:ascii="Helvetica Neue" w:hAnsi="Helvetica Neue" w:cs="Open Sans"/>
      <w:color w:val="201818"/>
      <w:sz w:val="22"/>
      <w:szCs w:val="22"/>
      <w:highlight w:val="white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49AE"/>
    <w:rPr>
      <w:color w:val="0563C1" w:themeColor="hyperlink"/>
      <w:u w:val="single"/>
    </w:rPr>
  </w:style>
  <w:style w:type="paragraph" w:customStyle="1" w:styleId="Presentationtitle">
    <w:name w:val="Presentation title"/>
    <w:basedOn w:val="Normal"/>
    <w:qFormat/>
    <w:rsid w:val="00381437"/>
    <w:pPr>
      <w:ind w:left="0" w:right="0"/>
    </w:pPr>
    <w:rPr>
      <w:rFonts w:ascii="Cambria" w:hAnsi="Cambria"/>
      <w:b/>
      <w:caps/>
      <w:sz w:val="26"/>
      <w:szCs w:val="24"/>
      <w:highlight w:val="none"/>
      <w:lang w:val="en-US"/>
    </w:rPr>
  </w:style>
  <w:style w:type="paragraph" w:customStyle="1" w:styleId="Listofauthors">
    <w:name w:val="List of authors"/>
    <w:basedOn w:val="Normal"/>
    <w:qFormat/>
    <w:rsid w:val="00381437"/>
    <w:pPr>
      <w:ind w:left="0" w:right="0"/>
      <w:contextualSpacing/>
    </w:pPr>
    <w:rPr>
      <w:rFonts w:ascii="Cambria" w:hAnsi="Cambria"/>
      <w:bCs/>
      <w:i/>
      <w:sz w:val="24"/>
      <w:szCs w:val="24"/>
      <w:highlight w:val="none"/>
      <w:lang w:val="en-US"/>
    </w:rPr>
  </w:style>
  <w:style w:type="character" w:customStyle="1" w:styleId="Presentingauthor">
    <w:name w:val="Presenting author"/>
    <w:basedOn w:val="DefaultParagraphFont"/>
    <w:uiPriority w:val="1"/>
    <w:rsid w:val="00381437"/>
    <w:rPr>
      <w:b/>
    </w:rPr>
  </w:style>
  <w:style w:type="paragraph" w:customStyle="1" w:styleId="Textofabstract">
    <w:name w:val="Text of abstract"/>
    <w:basedOn w:val="Normal"/>
    <w:qFormat/>
    <w:rsid w:val="00381437"/>
    <w:pPr>
      <w:spacing w:before="240"/>
      <w:ind w:left="0" w:right="0"/>
    </w:pPr>
    <w:rPr>
      <w:rFonts w:ascii="Cambria" w:hAnsi="Cambria"/>
      <w:sz w:val="24"/>
      <w:szCs w:val="24"/>
      <w:highlight w:val="none"/>
      <w:lang w:val="en-US"/>
    </w:rPr>
  </w:style>
  <w:style w:type="paragraph" w:customStyle="1" w:styleId="Referencelist">
    <w:name w:val="Reference list"/>
    <w:basedOn w:val="Textofabstract"/>
    <w:qFormat/>
    <w:rsid w:val="00381437"/>
    <w:pPr>
      <w:spacing w:before="0"/>
    </w:pPr>
  </w:style>
  <w:style w:type="paragraph" w:customStyle="1" w:styleId="Figurecaption">
    <w:name w:val="Figure caption"/>
    <w:basedOn w:val="Textofabstract"/>
    <w:qFormat/>
    <w:rsid w:val="003610B4"/>
    <w:pPr>
      <w:jc w:val="center"/>
    </w:pPr>
    <w:rPr>
      <w:i/>
      <w:color w:val="595959" w:themeColor="text1" w:themeTint="A6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F4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4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IASIM-2020 abstracts</vt:lpstr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IASIM-2020 abstracts</dc:title>
  <dc:subject/>
  <dc:creator>Sergey Kucheryavskiy</dc:creator>
  <cp:keywords/>
  <dc:description/>
  <cp:lastModifiedBy>Narek Meloyan</cp:lastModifiedBy>
  <cp:revision>3</cp:revision>
  <dcterms:created xsi:type="dcterms:W3CDTF">2019-06-17T12:25:00Z</dcterms:created>
  <dcterms:modified xsi:type="dcterms:W3CDTF">2026-04-14T15:17:00Z</dcterms:modified>
  <cp:category/>
</cp:coreProperties>
</file>