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2410C"/>
          <w:sz w:val="22"/>
        </w:rPr>
        <w:t>KORbuild</w:t>
      </w:r>
    </w:p>
    <w:p>
      <w:pPr>
        <w:pStyle w:val="Title"/>
      </w:pPr>
      <w:r>
        <w:t>Measure — Business rules</w:t>
      </w:r>
    </w:p>
    <w:p>
      <w:r>
        <w:rPr>
          <w:i/>
        </w:rPr>
        <w:t>KORbuild product guide</w:t>
      </w:r>
    </w:p>
    <w:p>
      <w:r>
        <w:rPr>
          <w:b w:val="0"/>
          <w:i w:val="0"/>
        </w:rPr>
        <w:t>Each rule has an ID (</w:t>
      </w:r>
      <w:r>
        <w:rPr>
          <w:rFonts w:ascii="Consolas" w:hAnsi="Consolas"/>
          <w:b w:val="0"/>
          <w:i w:val="0"/>
        </w:rPr>
        <w:t>MSR-nnn</w:t>
      </w:r>
      <w:r>
        <w:rPr>
          <w:b w:val="0"/>
          <w:i w:val="0"/>
        </w:rPr>
        <w:t xml:space="preserve">) so it can be quoted in meetings, tests and change requests. The </w:t>
      </w:r>
      <w:r>
        <w:rPr>
          <w:b/>
          <w:i w:val="0"/>
        </w:rPr>
        <w:t>Status</w:t>
      </w:r>
      <w:r>
        <w:rPr>
          <w:b w:val="0"/>
          <w:i w:val="0"/>
        </w:rPr>
        <w:t xml:space="preserve"> column says whether the rule works in the prototype today.</w:t>
      </w:r>
    </w:p>
    <w:p>
      <w:pPr>
        <w:shd w:val="clear" w:color="auto" w:fill="EEF4FF"/>
      </w:pPr>
      <w:r>
        <w:rPr>
          <w:b/>
          <w:i w:val="0"/>
        </w:rPr>
        <w:t>Source</w:t>
      </w:r>
    </w:p>
    <w:p>
      <w:pPr>
        <w:shd w:val="clear" w:color="auto" w:fill="EEF4FF"/>
      </w:pPr>
      <w:r>
        <w:rPr>
          <w:b w:val="0"/>
          <w:i w:val="0"/>
        </w:rPr>
        <w:t xml:space="preserve">These rules come from the prototype's code and from the Measure specification in the project documentation. Open points are marked </w:t>
      </w:r>
      <w:r>
        <w:rPr>
          <w:b/>
          <w:i w:val="0"/>
        </w:rPr>
        <w:t>To be confirmed</w:t>
      </w:r>
      <w:r>
        <w:rPr>
          <w:b w:val="0"/>
          <w:i w:val="0"/>
        </w:rPr>
        <w:t xml:space="preserve"> at the end.</w:t>
      </w:r>
    </w:p>
    <w:p>
      <w:pPr>
        <w:pStyle w:val="Heading1"/>
      </w:pPr>
      <w:r>
        <w:rPr>
          <w:b w:val="0"/>
          <w:i w:val="0"/>
        </w:rPr>
        <w:t>Units and measuring</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ID</w:t>
            </w:r>
          </w:p>
        </w:tc>
        <w:tc>
          <w:tcPr>
            <w:tcW w:type="dxa" w:w="3249"/>
          </w:tcPr>
          <w:p>
            <w:pPr>
              <w:shd w:val="clear" w:color="auto" w:fill="F2F4F7"/>
            </w:pPr>
            <w:r/>
            <w:r>
              <w:rPr>
                <w:b/>
                <w:i w:val="0"/>
                <w:sz w:val="18"/>
              </w:rPr>
              <w:t>Rule</w:t>
            </w:r>
          </w:p>
        </w:tc>
        <w:tc>
          <w:tcPr>
            <w:tcW w:type="dxa" w:w="3249"/>
          </w:tcPr>
          <w:p>
            <w:pPr>
              <w:shd w:val="clear" w:color="auto" w:fill="F2F4F7"/>
            </w:pPr>
            <w:r/>
            <w:r>
              <w:rPr>
                <w:b/>
                <w:i w:val="0"/>
                <w:sz w:val="18"/>
              </w:rPr>
              <w:t>Status</w:t>
            </w:r>
          </w:p>
        </w:tc>
      </w:tr>
      <w:tr>
        <w:tc>
          <w:tcPr>
            <w:tcW w:type="dxa" w:w="3249"/>
          </w:tcPr>
          <w:p>
            <w:r/>
            <w:r>
              <w:rPr>
                <w:b w:val="0"/>
                <w:i w:val="0"/>
                <w:sz w:val="18"/>
              </w:rPr>
              <w:t>MSR-001</w:t>
            </w:r>
          </w:p>
        </w:tc>
        <w:tc>
          <w:tcPr>
            <w:tcW w:type="dxa" w:w="3249"/>
          </w:tcPr>
          <w:p>
            <w:r/>
            <w:r>
              <w:rPr>
                <w:b/>
                <w:i w:val="0"/>
                <w:sz w:val="18"/>
              </w:rPr>
              <w:t>No fractions or text in the math.</w:t>
            </w:r>
            <w:r>
              <w:rPr>
                <w:b w:val="0"/>
                <w:i w:val="0"/>
                <w:sz w:val="18"/>
              </w:rPr>
              <w:t xml:space="preserve"> Lengths are stored in inches, areas in square inches, volumes in cubic inches. Feet and inches appear only on screen.</w:t>
            </w:r>
          </w:p>
        </w:tc>
        <w:tc>
          <w:tcPr>
            <w:tcW w:type="dxa" w:w="3249"/>
          </w:tcPr>
          <w:p>
            <w:r/>
            <w:r>
              <w:rPr>
                <w:b w:val="0"/>
                <w:i w:val="0"/>
                <w:sz w:val="18"/>
              </w:rPr>
              <w:t>Working</w:t>
            </w:r>
          </w:p>
        </w:tc>
      </w:tr>
      <w:tr>
        <w:tc>
          <w:tcPr>
            <w:tcW w:type="dxa" w:w="3249"/>
          </w:tcPr>
          <w:p>
            <w:r/>
            <w:r>
              <w:rPr>
                <w:b w:val="0"/>
                <w:i w:val="0"/>
                <w:sz w:val="18"/>
              </w:rPr>
              <w:t>MSR-002</w:t>
            </w:r>
          </w:p>
        </w:tc>
        <w:tc>
          <w:tcPr>
            <w:tcW w:type="dxa" w:w="3249"/>
          </w:tcPr>
          <w:p>
            <w:r/>
            <w:r>
              <w:rPr>
                <w:b/>
                <w:i w:val="0"/>
                <w:sz w:val="18"/>
              </w:rPr>
              <w:t>Points are stored in the PDF page's coordinates</w:t>
            </w:r>
            <w:r>
              <w:rPr>
                <w:b w:val="0"/>
                <w:i w:val="0"/>
                <w:sz w:val="18"/>
              </w:rPr>
              <w:t>, never in screen pixels. Zoom and screen resolution never change a measurement.</w:t>
            </w:r>
          </w:p>
        </w:tc>
        <w:tc>
          <w:tcPr>
            <w:tcW w:type="dxa" w:w="3249"/>
          </w:tcPr>
          <w:p>
            <w:r/>
            <w:r>
              <w:rPr>
                <w:b w:val="0"/>
                <w:i w:val="0"/>
                <w:sz w:val="18"/>
              </w:rPr>
              <w:t>Working</w:t>
            </w:r>
          </w:p>
        </w:tc>
      </w:tr>
      <w:tr>
        <w:tc>
          <w:tcPr>
            <w:tcW w:type="dxa" w:w="3249"/>
          </w:tcPr>
          <w:p>
            <w:r/>
            <w:r>
              <w:rPr>
                <w:b w:val="0"/>
                <w:i w:val="0"/>
                <w:sz w:val="18"/>
              </w:rPr>
              <w:t>MSR-003</w:t>
            </w:r>
          </w:p>
        </w:tc>
        <w:tc>
          <w:tcPr>
            <w:tcW w:type="dxa" w:w="3249"/>
          </w:tcPr>
          <w:p>
            <w:r/>
            <w:r>
              <w:rPr>
                <w:b/>
                <w:i w:val="0"/>
                <w:sz w:val="18"/>
              </w:rPr>
              <w:t>The scale belongs to the sheet.</w:t>
            </w:r>
            <w:r>
              <w:rPr>
                <w:b w:val="0"/>
                <w:i w:val="0"/>
                <w:sz w:val="18"/>
              </w:rPr>
              <w:t xml:space="preserve"> It comes from the list (architectural and engineering scales) or from calibrating on a known dimension. Each sheet has its own scale.</w:t>
            </w:r>
          </w:p>
        </w:tc>
        <w:tc>
          <w:tcPr>
            <w:tcW w:type="dxa" w:w="3249"/>
          </w:tcPr>
          <w:p>
            <w:r/>
            <w:r>
              <w:rPr>
                <w:b w:val="0"/>
                <w:i w:val="0"/>
                <w:sz w:val="18"/>
              </w:rPr>
              <w:t>Working</w:t>
            </w:r>
          </w:p>
        </w:tc>
      </w:tr>
      <w:tr>
        <w:tc>
          <w:tcPr>
            <w:tcW w:type="dxa" w:w="3249"/>
          </w:tcPr>
          <w:p>
            <w:r/>
            <w:r>
              <w:rPr>
                <w:b w:val="0"/>
                <w:i w:val="0"/>
                <w:sz w:val="18"/>
              </w:rPr>
              <w:t>MSR-004</w:t>
            </w:r>
          </w:p>
        </w:tc>
        <w:tc>
          <w:tcPr>
            <w:tcW w:type="dxa" w:w="3249"/>
          </w:tcPr>
          <w:p>
            <w:r/>
            <w:r>
              <w:rPr>
                <w:b/>
                <w:i w:val="0"/>
                <w:sz w:val="18"/>
              </w:rPr>
              <w:t>Scale check:</w:t>
            </w:r>
            <w:r>
              <w:rPr>
                <w:b w:val="0"/>
                <w:i w:val="0"/>
                <w:sz w:val="18"/>
              </w:rPr>
              <w:t xml:space="preserve"> after setting the scale, measure another known dimension. A difference above 1% is flagged.</w:t>
            </w:r>
          </w:p>
        </w:tc>
        <w:tc>
          <w:tcPr>
            <w:tcW w:type="dxa" w:w="3249"/>
          </w:tcPr>
          <w:p>
            <w:r/>
            <w:r>
              <w:rPr>
                <w:b w:val="0"/>
                <w:i w:val="0"/>
                <w:sz w:val="18"/>
              </w:rPr>
              <w:t>Working</w:t>
            </w:r>
          </w:p>
        </w:tc>
      </w:tr>
      <w:tr>
        <w:tc>
          <w:tcPr>
            <w:tcW w:type="dxa" w:w="3249"/>
          </w:tcPr>
          <w:p>
            <w:r/>
            <w:r>
              <w:rPr>
                <w:b w:val="0"/>
                <w:i w:val="0"/>
                <w:sz w:val="18"/>
              </w:rPr>
              <w:t>MSR-005</w:t>
            </w:r>
          </w:p>
        </w:tc>
        <w:tc>
          <w:tcPr>
            <w:tcW w:type="dxa" w:w="3249"/>
          </w:tcPr>
          <w:p>
            <w:r/>
            <w:r>
              <w:rPr>
                <w:b/>
                <w:i w:val="0"/>
                <w:sz w:val="18"/>
              </w:rPr>
              <w:t>A measurement is always calculated from the drawing</w:t>
            </w:r>
            <w:r>
              <w:rPr>
                <w:b w:val="0"/>
                <w:i w:val="0"/>
                <w:sz w:val="18"/>
              </w:rPr>
              <w:t>, never typed in, so every quantity can be traced back to the plan.</w:t>
            </w:r>
          </w:p>
        </w:tc>
        <w:tc>
          <w:tcPr>
            <w:tcW w:type="dxa" w:w="3249"/>
          </w:tcPr>
          <w:p>
            <w:r/>
            <w:r>
              <w:rPr>
                <w:b w:val="0"/>
                <w:i w:val="0"/>
                <w:sz w:val="18"/>
              </w:rPr>
              <w:t>Working</w:t>
            </w:r>
          </w:p>
        </w:tc>
      </w:tr>
      <w:tr>
        <w:tc>
          <w:tcPr>
            <w:tcW w:type="dxa" w:w="3249"/>
          </w:tcPr>
          <w:p>
            <w:r/>
            <w:r>
              <w:rPr>
                <w:b w:val="0"/>
                <w:i w:val="0"/>
                <w:sz w:val="18"/>
              </w:rPr>
              <w:t>MSR-006</w:t>
            </w:r>
          </w:p>
        </w:tc>
        <w:tc>
          <w:tcPr>
            <w:tcW w:type="dxa" w:w="3249"/>
          </w:tcPr>
          <w:p>
            <w:r/>
            <w:r>
              <w:rPr>
                <w:b/>
                <w:i w:val="0"/>
                <w:sz w:val="18"/>
              </w:rPr>
              <w:t>Rounding only on screen:</w:t>
            </w:r>
            <w:r>
              <w:rPr>
                <w:b w:val="0"/>
                <w:i w:val="0"/>
                <w:sz w:val="18"/>
              </w:rPr>
              <w:t xml:space="preserve"> feet and inches to 1/16", square feet to whole numbers. The stored value does not change.</w:t>
            </w:r>
          </w:p>
        </w:tc>
        <w:tc>
          <w:tcPr>
            <w:tcW w:type="dxa" w:w="3249"/>
          </w:tcPr>
          <w:p>
            <w:r/>
            <w:r>
              <w:rPr>
                <w:b w:val="0"/>
                <w:i w:val="0"/>
                <w:sz w:val="18"/>
              </w:rPr>
              <w:t>Working</w:t>
            </w:r>
          </w:p>
        </w:tc>
      </w:tr>
      <w:tr>
        <w:tc>
          <w:tcPr>
            <w:tcW w:type="dxa" w:w="3249"/>
          </w:tcPr>
          <w:p>
            <w:r/>
            <w:r>
              <w:rPr>
                <w:b w:val="0"/>
                <w:i w:val="0"/>
                <w:sz w:val="18"/>
              </w:rPr>
              <w:t>MSR-007</w:t>
            </w:r>
          </w:p>
        </w:tc>
        <w:tc>
          <w:tcPr>
            <w:tcW w:type="dxa" w:w="3249"/>
          </w:tcPr>
          <w:p>
            <w:r/>
            <w:r>
              <w:rPr>
                <w:b w:val="0"/>
                <w:i w:val="0"/>
                <w:sz w:val="18"/>
              </w:rPr>
              <w:t xml:space="preserve">Accepted entries: </w:t>
            </w:r>
            <w:r>
              <w:rPr>
                <w:b w:val="0"/>
                <w:i w:val="0"/>
                <w:sz w:val="18"/>
              </w:rPr>
              <w:t>12'-6 1/2"</w:t>
            </w:r>
            <w:r>
              <w:rPr>
                <w:b w:val="0"/>
                <w:i w:val="0"/>
                <w:sz w:val="18"/>
              </w:rPr>
              <w:t xml:space="preserve">, </w:t>
            </w:r>
            <w:r>
              <w:rPr>
                <w:b w:val="0"/>
                <w:i w:val="0"/>
                <w:sz w:val="18"/>
              </w:rPr>
              <w:t>12' 6.5"</w:t>
            </w:r>
            <w:r>
              <w:rPr>
                <w:b w:val="0"/>
                <w:i w:val="0"/>
                <w:sz w:val="18"/>
              </w:rPr>
              <w:t xml:space="preserve">, </w:t>
            </w:r>
            <w:r>
              <w:rPr>
                <w:b w:val="0"/>
                <w:i w:val="0"/>
                <w:sz w:val="18"/>
              </w:rPr>
              <w:t>12'6"</w:t>
            </w:r>
            <w:r>
              <w:rPr>
                <w:b w:val="0"/>
                <w:i w:val="0"/>
                <w:sz w:val="18"/>
              </w:rPr>
              <w:t xml:space="preserve">, </w:t>
            </w:r>
            <w:r>
              <w:rPr>
                <w:b w:val="0"/>
                <w:i w:val="0"/>
                <w:sz w:val="18"/>
              </w:rPr>
              <w:t>12'</w:t>
            </w:r>
            <w:r>
              <w:rPr>
                <w:b w:val="0"/>
                <w:i w:val="0"/>
                <w:sz w:val="18"/>
              </w:rPr>
              <w:t xml:space="preserve">, </w:t>
            </w:r>
            <w:r>
              <w:rPr>
                <w:b w:val="0"/>
                <w:i w:val="0"/>
                <w:sz w:val="18"/>
              </w:rPr>
              <w:t>6"</w:t>
            </w:r>
            <w:r>
              <w:rPr>
                <w:b w:val="0"/>
                <w:i w:val="0"/>
                <w:sz w:val="18"/>
              </w:rPr>
              <w:t xml:space="preserve">, </w:t>
            </w:r>
            <w:r>
              <w:rPr>
                <w:b w:val="0"/>
                <w:i w:val="0"/>
                <w:sz w:val="18"/>
              </w:rPr>
              <w:t>150"</w:t>
            </w:r>
            <w:r>
              <w:rPr>
                <w:b w:val="0"/>
                <w:i w:val="0"/>
                <w:sz w:val="18"/>
              </w:rPr>
              <w:t xml:space="preserve">, </w:t>
            </w:r>
            <w:r>
              <w:rPr>
                <w:b w:val="0"/>
                <w:i w:val="0"/>
                <w:sz w:val="18"/>
              </w:rPr>
              <w:t>12.54'</w:t>
            </w:r>
            <w:r>
              <w:rPr>
                <w:b w:val="0"/>
                <w:i w:val="0"/>
                <w:sz w:val="18"/>
              </w:rPr>
              <w:t xml:space="preserve">, </w:t>
            </w:r>
            <w:r>
              <w:rPr>
                <w:b w:val="0"/>
                <w:i w:val="0"/>
                <w:sz w:val="18"/>
              </w:rPr>
              <w:t>12-6</w:t>
            </w:r>
            <w:r>
              <w:rPr>
                <w:b w:val="0"/>
                <w:i w:val="0"/>
                <w:sz w:val="18"/>
              </w:rPr>
              <w:t xml:space="preserve">, </w:t>
            </w:r>
            <w:r>
              <w:rPr>
                <w:b w:val="0"/>
                <w:i w:val="0"/>
                <w:sz w:val="18"/>
              </w:rPr>
              <w:t>12-6-1/2</w:t>
            </w:r>
            <w:r>
              <w:rPr>
                <w:b w:val="0"/>
                <w:i w:val="0"/>
                <w:sz w:val="18"/>
              </w:rPr>
              <w:t xml:space="preserve">. A number without a unit is read as feet. </w:t>
            </w:r>
            <w:r>
              <w:rPr>
                <w:b w:val="0"/>
                <w:i w:val="0"/>
                <w:sz w:val="18"/>
              </w:rPr>
              <w:t>12'-14"</w:t>
            </w:r>
            <w:r>
              <w:rPr>
                <w:b w:val="0"/>
                <w:i w:val="0"/>
                <w:sz w:val="18"/>
              </w:rPr>
              <w:t xml:space="preserve"> is refused (inches must be under 12 when feet are given).</w:t>
            </w:r>
          </w:p>
        </w:tc>
        <w:tc>
          <w:tcPr>
            <w:tcW w:type="dxa" w:w="3249"/>
          </w:tcPr>
          <w:p>
            <w:r/>
            <w:r>
              <w:rPr>
                <w:b w:val="0"/>
                <w:i w:val="0"/>
                <w:sz w:val="18"/>
              </w:rPr>
              <w:t>Working</w:t>
            </w:r>
          </w:p>
        </w:tc>
      </w:tr>
      <w:tr>
        <w:tc>
          <w:tcPr>
            <w:tcW w:type="dxa" w:w="3249"/>
          </w:tcPr>
          <w:p>
            <w:r/>
            <w:r>
              <w:rPr>
                <w:b w:val="0"/>
                <w:i w:val="0"/>
                <w:sz w:val="18"/>
              </w:rPr>
              <w:t>MSR-008</w:t>
            </w:r>
          </w:p>
        </w:tc>
        <w:tc>
          <w:tcPr>
            <w:tcW w:type="dxa" w:w="3249"/>
          </w:tcPr>
          <w:p>
            <w:r/>
            <w:r>
              <w:rPr>
                <w:b w:val="0"/>
                <w:i w:val="0"/>
                <w:sz w:val="18"/>
              </w:rPr>
              <w:t xml:space="preserve">Roof pitch is entered as </w:t>
            </w:r>
            <w:r>
              <w:rPr>
                <w:b w:val="0"/>
                <w:i w:val="0"/>
                <w:sz w:val="18"/>
              </w:rPr>
              <w:t>6/12</w:t>
            </w:r>
            <w:r>
              <w:rPr>
                <w:b w:val="0"/>
                <w:i w:val="0"/>
                <w:sz w:val="18"/>
              </w:rPr>
              <w:t xml:space="preserve">, </w:t>
            </w:r>
            <w:r>
              <w:rPr>
                <w:b w:val="0"/>
                <w:i w:val="0"/>
                <w:sz w:val="18"/>
              </w:rPr>
              <w:t>6:12</w:t>
            </w:r>
            <w:r>
              <w:rPr>
                <w:b w:val="0"/>
                <w:i w:val="0"/>
                <w:sz w:val="18"/>
              </w:rPr>
              <w:t xml:space="preserve"> or </w:t>
            </w:r>
            <w:r>
              <w:rPr>
                <w:b w:val="0"/>
                <w:i w:val="0"/>
                <w:sz w:val="18"/>
              </w:rPr>
              <w:t>6</w:t>
            </w:r>
            <w:r>
              <w:rPr>
                <w:b w:val="0"/>
                <w:i w:val="0"/>
                <w:sz w:val="18"/>
              </w:rPr>
              <w:t>; the factor is √(1 + (6/12)²) = 1.118.</w:t>
            </w:r>
          </w:p>
        </w:tc>
        <w:tc>
          <w:tcPr>
            <w:tcW w:type="dxa" w:w="3249"/>
          </w:tcPr>
          <w:p>
            <w:r/>
            <w:r>
              <w:rPr>
                <w:b w:val="0"/>
                <w:i w:val="0"/>
                <w:sz w:val="18"/>
              </w:rPr>
              <w:t>Working</w:t>
            </w:r>
          </w:p>
        </w:tc>
      </w:tr>
    </w:tbl>
    <w:p>
      <w:pPr>
        <w:pStyle w:val="Heading1"/>
      </w:pPr>
      <w:r>
        <w:rPr>
          <w:b w:val="0"/>
          <w:i w:val="0"/>
        </w:rPr>
        <w:t>Conditions</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ID</w:t>
            </w:r>
          </w:p>
        </w:tc>
        <w:tc>
          <w:tcPr>
            <w:tcW w:type="dxa" w:w="3249"/>
          </w:tcPr>
          <w:p>
            <w:pPr>
              <w:shd w:val="clear" w:color="auto" w:fill="F2F4F7"/>
            </w:pPr>
            <w:r/>
            <w:r>
              <w:rPr>
                <w:b/>
                <w:i w:val="0"/>
                <w:sz w:val="18"/>
              </w:rPr>
              <w:t>Rule</w:t>
            </w:r>
          </w:p>
        </w:tc>
        <w:tc>
          <w:tcPr>
            <w:tcW w:type="dxa" w:w="3249"/>
          </w:tcPr>
          <w:p>
            <w:pPr>
              <w:shd w:val="clear" w:color="auto" w:fill="F2F4F7"/>
            </w:pPr>
            <w:r/>
            <w:r>
              <w:rPr>
                <w:b/>
                <w:i w:val="0"/>
                <w:sz w:val="18"/>
              </w:rPr>
              <w:t>Status</w:t>
            </w:r>
          </w:p>
        </w:tc>
      </w:tr>
      <w:tr>
        <w:tc>
          <w:tcPr>
            <w:tcW w:type="dxa" w:w="3249"/>
          </w:tcPr>
          <w:p>
            <w:r/>
            <w:r>
              <w:rPr>
                <w:b w:val="0"/>
                <w:i w:val="0"/>
                <w:sz w:val="18"/>
              </w:rPr>
              <w:t>MSR-010</w:t>
            </w:r>
          </w:p>
        </w:tc>
        <w:tc>
          <w:tcPr>
            <w:tcW w:type="dxa" w:w="3249"/>
          </w:tcPr>
          <w:p>
            <w:r/>
            <w:r>
              <w:rPr>
                <w:b w:val="0"/>
                <w:i w:val="0"/>
                <w:sz w:val="18"/>
              </w:rPr>
              <w:t xml:space="preserve">A </w:t>
            </w:r>
            <w:r>
              <w:rPr>
                <w:b/>
                <w:i w:val="0"/>
                <w:sz w:val="18"/>
              </w:rPr>
              <w:t>condition</w:t>
            </w:r>
            <w:r>
              <w:rPr>
                <w:b w:val="0"/>
                <w:i w:val="0"/>
                <w:sz w:val="18"/>
              </w:rPr>
              <w:t xml:space="preserve"> is what you measure (exterior walls, LVP floor, siding, windows W1). It has a name, a type, a color and properties, and measurements on one or more sheets.</w:t>
            </w:r>
          </w:p>
        </w:tc>
        <w:tc>
          <w:tcPr>
            <w:tcW w:type="dxa" w:w="3249"/>
          </w:tcPr>
          <w:p>
            <w:r/>
            <w:r>
              <w:rPr>
                <w:b w:val="0"/>
                <w:i w:val="0"/>
                <w:sz w:val="18"/>
              </w:rPr>
              <w:t>Working</w:t>
            </w:r>
          </w:p>
        </w:tc>
      </w:tr>
      <w:tr>
        <w:tc>
          <w:tcPr>
            <w:tcW w:type="dxa" w:w="3249"/>
          </w:tcPr>
          <w:p>
            <w:r/>
            <w:r>
              <w:rPr>
                <w:b w:val="0"/>
                <w:i w:val="0"/>
                <w:sz w:val="18"/>
              </w:rPr>
              <w:t>MSR-011</w:t>
            </w:r>
          </w:p>
        </w:tc>
        <w:tc>
          <w:tcPr>
            <w:tcW w:type="dxa" w:w="3249"/>
          </w:tcPr>
          <w:p>
            <w:r/>
            <w:r>
              <w:rPr>
                <w:b/>
                <w:i w:val="0"/>
                <w:sz w:val="18"/>
              </w:rPr>
              <w:t>Three types:</w:t>
            </w:r>
            <w:r>
              <w:rPr>
                <w:b w:val="0"/>
                <w:i w:val="0"/>
                <w:sz w:val="18"/>
              </w:rPr>
              <w:t xml:space="preserve"> linear (with height → surface; with pitch → pitched length), area (with pitch → roof area; with thickness → volume) and count.</w:t>
            </w:r>
          </w:p>
        </w:tc>
        <w:tc>
          <w:tcPr>
            <w:tcW w:type="dxa" w:w="3249"/>
          </w:tcPr>
          <w:p>
            <w:r/>
            <w:r>
              <w:rPr>
                <w:b w:val="0"/>
                <w:i w:val="0"/>
                <w:sz w:val="18"/>
              </w:rPr>
              <w:t>Working</w:t>
            </w:r>
          </w:p>
        </w:tc>
      </w:tr>
      <w:tr>
        <w:tc>
          <w:tcPr>
            <w:tcW w:type="dxa" w:w="3249"/>
          </w:tcPr>
          <w:p>
            <w:r/>
            <w:r>
              <w:rPr>
                <w:b w:val="0"/>
                <w:i w:val="0"/>
                <w:sz w:val="18"/>
              </w:rPr>
              <w:t>MSR-012</w:t>
            </w:r>
          </w:p>
        </w:tc>
        <w:tc>
          <w:tcPr>
            <w:tcW w:type="dxa" w:w="3249"/>
          </w:tcPr>
          <w:p>
            <w:r/>
            <w:r>
              <w:rPr>
                <w:b/>
                <w:i w:val="0"/>
                <w:sz w:val="18"/>
              </w:rPr>
              <w:t>Openings:</w:t>
            </w:r>
            <w:r>
              <w:rPr>
                <w:b w:val="0"/>
                <w:i w:val="0"/>
                <w:sz w:val="18"/>
              </w:rPr>
              <w:t xml:space="preserve"> a count (window, door) can have a width and a height. A wall or an area can </w:t>
            </w:r>
            <w:r>
              <w:rPr>
                <w:b/>
                <w:i w:val="0"/>
                <w:sz w:val="18"/>
              </w:rPr>
              <w:t>deduct the openings</w:t>
            </w:r>
            <w:r>
              <w:rPr>
                <w:b w:val="0"/>
                <w:i w:val="0"/>
                <w:sz w:val="18"/>
              </w:rPr>
              <w:t xml:space="preserve"> of chosen counts, from any sheet of the project. Counting one more window updates the sheathing, the drywall and the siding.</w:t>
            </w:r>
          </w:p>
        </w:tc>
        <w:tc>
          <w:tcPr>
            <w:tcW w:type="dxa" w:w="3249"/>
          </w:tcPr>
          <w:p>
            <w:r/>
            <w:r>
              <w:rPr>
                <w:b w:val="0"/>
                <w:i w:val="0"/>
                <w:sz w:val="18"/>
              </w:rPr>
              <w:t>Working</w:t>
            </w:r>
          </w:p>
        </w:tc>
      </w:tr>
      <w:tr>
        <w:tc>
          <w:tcPr>
            <w:tcW w:type="dxa" w:w="3249"/>
          </w:tcPr>
          <w:p>
            <w:r/>
            <w:r>
              <w:rPr>
                <w:b w:val="0"/>
                <w:i w:val="0"/>
                <w:sz w:val="18"/>
              </w:rPr>
              <w:t>MSR-013</w:t>
            </w:r>
          </w:p>
        </w:tc>
        <w:tc>
          <w:tcPr>
            <w:tcW w:type="dxa" w:w="3249"/>
          </w:tcPr>
          <w:p>
            <w:r/>
            <w:r>
              <w:rPr>
                <w:b/>
                <w:i w:val="0"/>
                <w:sz w:val="18"/>
              </w:rPr>
              <w:t>Deduct (eraser):</w:t>
            </w:r>
            <w:r>
              <w:rPr>
                <w:b w:val="0"/>
                <w:i w:val="0"/>
                <w:sz w:val="18"/>
              </w:rPr>
              <w:t xml:space="preserve"> on an area, a drawn polygon is subtracted from the total (stairs, chimney, cut-out).</w:t>
            </w:r>
          </w:p>
        </w:tc>
        <w:tc>
          <w:tcPr>
            <w:tcW w:type="dxa" w:w="3249"/>
          </w:tcPr>
          <w:p>
            <w:r/>
            <w:r>
              <w:rPr>
                <w:b w:val="0"/>
                <w:i w:val="0"/>
                <w:sz w:val="18"/>
              </w:rPr>
              <w:t>Working</w:t>
            </w:r>
          </w:p>
        </w:tc>
      </w:tr>
      <w:tr>
        <w:tc>
          <w:tcPr>
            <w:tcW w:type="dxa" w:w="3249"/>
          </w:tcPr>
          <w:p>
            <w:r/>
            <w:r>
              <w:rPr>
                <w:b w:val="0"/>
                <w:i w:val="0"/>
                <w:sz w:val="18"/>
              </w:rPr>
              <w:t>MSR-014</w:t>
            </w:r>
          </w:p>
        </w:tc>
        <w:tc>
          <w:tcPr>
            <w:tcW w:type="dxa" w:w="3249"/>
          </w:tcPr>
          <w:p>
            <w:r/>
            <w:r>
              <w:rPr>
                <w:b/>
                <w:i w:val="0"/>
                <w:sz w:val="18"/>
              </w:rPr>
              <w:t>Drawn opening:</w:t>
            </w:r>
            <w:r>
              <w:rPr>
                <w:b w:val="0"/>
                <w:i w:val="0"/>
                <w:sz w:val="18"/>
              </w:rPr>
              <w:t xml:space="preserve"> the Opening tool draws the window or door rectangle, adds 1 to the chosen count and cuts the same area out of the areas behind it. An opening already cut out is not deducted again (no double deduction). Deleting one deletes the other.</w:t>
            </w:r>
          </w:p>
        </w:tc>
        <w:tc>
          <w:tcPr>
            <w:tcW w:type="dxa" w:w="3249"/>
          </w:tcPr>
          <w:p>
            <w:r/>
            <w:r>
              <w:rPr>
                <w:b w:val="0"/>
                <w:i w:val="0"/>
                <w:sz w:val="18"/>
              </w:rPr>
              <w:t>Working</w:t>
            </w:r>
          </w:p>
        </w:tc>
      </w:tr>
      <w:tr>
        <w:tc>
          <w:tcPr>
            <w:tcW w:type="dxa" w:w="3249"/>
          </w:tcPr>
          <w:p>
            <w:r/>
            <w:r>
              <w:rPr>
                <w:b w:val="0"/>
                <w:i w:val="0"/>
                <w:sz w:val="18"/>
              </w:rPr>
              <w:t>MSR-015</w:t>
            </w:r>
          </w:p>
        </w:tc>
        <w:tc>
          <w:tcPr>
            <w:tcW w:type="dxa" w:w="3249"/>
          </w:tcPr>
          <w:p>
            <w:r/>
            <w:r>
              <w:rPr>
                <w:b/>
                <w:i w:val="0"/>
                <w:sz w:val="18"/>
              </w:rPr>
              <w:t>Conditions per sheet:</w:t>
            </w:r>
            <w:r>
              <w:rPr>
                <w:b w:val="0"/>
                <w:i w:val="0"/>
                <w:sz w:val="18"/>
              </w:rPr>
              <w:t xml:space="preserve"> each sheet shows only the conditions added to it. A condition can be reused on another sheet; its measurements add up to the same total.</w:t>
            </w:r>
          </w:p>
        </w:tc>
        <w:tc>
          <w:tcPr>
            <w:tcW w:type="dxa" w:w="3249"/>
          </w:tcPr>
          <w:p>
            <w:r/>
            <w:r>
              <w:rPr>
                <w:b w:val="0"/>
                <w:i w:val="0"/>
                <w:sz w:val="18"/>
              </w:rPr>
              <w:t>Working</w:t>
            </w:r>
          </w:p>
        </w:tc>
      </w:tr>
      <w:tr>
        <w:tc>
          <w:tcPr>
            <w:tcW w:type="dxa" w:w="3249"/>
          </w:tcPr>
          <w:p>
            <w:r/>
            <w:r>
              <w:rPr>
                <w:b w:val="0"/>
                <w:i w:val="0"/>
                <w:sz w:val="18"/>
              </w:rPr>
              <w:t>MSR-016</w:t>
            </w:r>
          </w:p>
        </w:tc>
        <w:tc>
          <w:tcPr>
            <w:tcW w:type="dxa" w:w="3249"/>
          </w:tcPr>
          <w:p>
            <w:r/>
            <w:r>
              <w:rPr>
                <w:b w:val="0"/>
                <w:i w:val="0"/>
                <w:sz w:val="18"/>
              </w:rPr>
              <w:t xml:space="preserve">The drawing starts </w:t>
            </w:r>
            <w:r>
              <w:rPr>
                <w:b/>
                <w:i w:val="0"/>
                <w:sz w:val="18"/>
              </w:rPr>
              <w:t>empty</w:t>
            </w:r>
            <w:r>
              <w:rPr>
                <w:b w:val="0"/>
                <w:i w:val="0"/>
                <w:sz w:val="18"/>
              </w:rPr>
              <w:t>: conditions are created by adding an assembly from the catalog (or "Just measure, no assembly").</w:t>
            </w:r>
          </w:p>
        </w:tc>
        <w:tc>
          <w:tcPr>
            <w:tcW w:type="dxa" w:w="3249"/>
          </w:tcPr>
          <w:p>
            <w:r/>
            <w:r>
              <w:rPr>
                <w:b w:val="0"/>
                <w:i w:val="0"/>
                <w:sz w:val="18"/>
              </w:rPr>
              <w:t>Working</w:t>
            </w:r>
          </w:p>
        </w:tc>
      </w:tr>
      <w:tr>
        <w:tc>
          <w:tcPr>
            <w:tcW w:type="dxa" w:w="3249"/>
          </w:tcPr>
          <w:p>
            <w:r/>
            <w:r>
              <w:rPr>
                <w:b w:val="0"/>
                <w:i w:val="0"/>
                <w:sz w:val="18"/>
              </w:rPr>
              <w:t>MSR-017</w:t>
            </w:r>
          </w:p>
        </w:tc>
        <w:tc>
          <w:tcPr>
            <w:tcW w:type="dxa" w:w="3249"/>
          </w:tcPr>
          <w:p>
            <w:r/>
            <w:r>
              <w:rPr>
                <w:b/>
                <w:i w:val="0"/>
                <w:sz w:val="18"/>
              </w:rPr>
              <w:t>Show on the drawing:</w:t>
            </w:r>
            <w:r>
              <w:rPr>
                <w:b w:val="0"/>
                <w:i w:val="0"/>
                <w:sz w:val="18"/>
              </w:rPr>
              <w:t xml:space="preserve"> hiding a condition is only visual; quantities and materials do not change.</w:t>
            </w:r>
          </w:p>
        </w:tc>
        <w:tc>
          <w:tcPr>
            <w:tcW w:type="dxa" w:w="3249"/>
          </w:tcPr>
          <w:p>
            <w:r/>
            <w:r>
              <w:rPr>
                <w:b w:val="0"/>
                <w:i w:val="0"/>
                <w:sz w:val="18"/>
              </w:rPr>
              <w:t>Working</w:t>
            </w:r>
          </w:p>
        </w:tc>
      </w:tr>
    </w:tbl>
    <w:p>
      <w:pPr>
        <w:pStyle w:val="Heading1"/>
      </w:pPr>
      <w:r>
        <w:rPr>
          <w:b w:val="0"/>
          <w:i w:val="0"/>
        </w:rPr>
        <w:t>Items, assemblies and formulas</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ID</w:t>
            </w:r>
          </w:p>
        </w:tc>
        <w:tc>
          <w:tcPr>
            <w:tcW w:type="dxa" w:w="3249"/>
          </w:tcPr>
          <w:p>
            <w:pPr>
              <w:shd w:val="clear" w:color="auto" w:fill="F2F4F7"/>
            </w:pPr>
            <w:r/>
            <w:r>
              <w:rPr>
                <w:b/>
                <w:i w:val="0"/>
                <w:sz w:val="18"/>
              </w:rPr>
              <w:t>Rule</w:t>
            </w:r>
          </w:p>
        </w:tc>
        <w:tc>
          <w:tcPr>
            <w:tcW w:type="dxa" w:w="3249"/>
          </w:tcPr>
          <w:p>
            <w:pPr>
              <w:shd w:val="clear" w:color="auto" w:fill="F2F4F7"/>
            </w:pPr>
            <w:r/>
            <w:r>
              <w:rPr>
                <w:b/>
                <w:i w:val="0"/>
                <w:sz w:val="18"/>
              </w:rPr>
              <w:t>Status</w:t>
            </w:r>
          </w:p>
        </w:tc>
      </w:tr>
      <w:tr>
        <w:tc>
          <w:tcPr>
            <w:tcW w:type="dxa" w:w="3249"/>
          </w:tcPr>
          <w:p>
            <w:r/>
            <w:r>
              <w:rPr>
                <w:b w:val="0"/>
                <w:i w:val="0"/>
                <w:sz w:val="18"/>
              </w:rPr>
              <w:t>MSR-020</w:t>
            </w:r>
          </w:p>
        </w:tc>
        <w:tc>
          <w:tcPr>
            <w:tcW w:type="dxa" w:w="3249"/>
          </w:tcPr>
          <w:p>
            <w:r/>
            <w:r>
              <w:rPr>
                <w:b w:val="0"/>
                <w:i w:val="0"/>
                <w:sz w:val="18"/>
              </w:rPr>
              <w:t xml:space="preserve">An </w:t>
            </w:r>
            <w:r>
              <w:rPr>
                <w:b/>
                <w:i w:val="0"/>
                <w:sz w:val="18"/>
              </w:rPr>
              <w:t>item</w:t>
            </w:r>
            <w:r>
              <w:rPr>
                <w:b w:val="0"/>
                <w:i w:val="0"/>
                <w:sz w:val="18"/>
              </w:rPr>
              <w:t xml:space="preserve"> is what you buy or pay for, in its </w:t>
            </w:r>
            <w:r>
              <w:rPr>
                <w:b/>
                <w:i w:val="0"/>
                <w:sz w:val="18"/>
              </w:rPr>
              <w:t>purchase unit</w:t>
            </w:r>
            <w:r>
              <w:rPr>
                <w:b w:val="0"/>
                <w:i w:val="0"/>
                <w:sz w:val="18"/>
              </w:rPr>
              <w:t xml:space="preserve"> (sheet, box, roll, piece, cu yd, hour), with a category (material, labor, equipment, subcontractor) and a cost code (CSI MasterFormat).</w:t>
            </w:r>
          </w:p>
        </w:tc>
        <w:tc>
          <w:tcPr>
            <w:tcW w:type="dxa" w:w="3249"/>
          </w:tcPr>
          <w:p>
            <w:r/>
            <w:r>
              <w:rPr>
                <w:b w:val="0"/>
                <w:i w:val="0"/>
                <w:sz w:val="18"/>
              </w:rPr>
              <w:t>Working</w:t>
            </w:r>
          </w:p>
        </w:tc>
      </w:tr>
      <w:tr>
        <w:tc>
          <w:tcPr>
            <w:tcW w:type="dxa" w:w="3249"/>
          </w:tcPr>
          <w:p>
            <w:r/>
            <w:r>
              <w:rPr>
                <w:b w:val="0"/>
                <w:i w:val="0"/>
                <w:sz w:val="18"/>
              </w:rPr>
              <w:t>MSR-021</w:t>
            </w:r>
          </w:p>
        </w:tc>
        <w:tc>
          <w:tcPr>
            <w:tcW w:type="dxa" w:w="3249"/>
          </w:tcPr>
          <w:p>
            <w:r/>
            <w:r>
              <w:rPr>
                <w:b w:val="0"/>
                <w:i w:val="0"/>
                <w:sz w:val="18"/>
              </w:rPr>
              <w:t xml:space="preserve">An </w:t>
            </w:r>
            <w:r>
              <w:rPr>
                <w:b/>
                <w:i w:val="0"/>
                <w:sz w:val="18"/>
              </w:rPr>
              <w:t>assembly</w:t>
            </w:r>
            <w:r>
              <w:rPr>
                <w:b w:val="0"/>
                <w:i w:val="0"/>
                <w:sz w:val="18"/>
              </w:rPr>
              <w:t xml:space="preserve"> is a set of lines for one type of condition. One measurement feeds many items.</w:t>
            </w:r>
          </w:p>
        </w:tc>
        <w:tc>
          <w:tcPr>
            <w:tcW w:type="dxa" w:w="3249"/>
          </w:tcPr>
          <w:p>
            <w:r/>
            <w:r>
              <w:rPr>
                <w:b w:val="0"/>
                <w:i w:val="0"/>
                <w:sz w:val="18"/>
              </w:rPr>
              <w:t>Working</w:t>
            </w:r>
          </w:p>
        </w:tc>
      </w:tr>
      <w:tr>
        <w:tc>
          <w:tcPr>
            <w:tcW w:type="dxa" w:w="3249"/>
          </w:tcPr>
          <w:p>
            <w:r/>
            <w:r>
              <w:rPr>
                <w:b w:val="0"/>
                <w:i w:val="0"/>
                <w:sz w:val="18"/>
              </w:rPr>
              <w:t>MSR-022</w:t>
            </w:r>
          </w:p>
        </w:tc>
        <w:tc>
          <w:tcPr>
            <w:tcW w:type="dxa" w:w="3249"/>
          </w:tcPr>
          <w:p>
            <w:r/>
            <w:r>
              <w:rPr>
                <w:b w:val="0"/>
                <w:i w:val="0"/>
                <w:sz w:val="18"/>
              </w:rPr>
              <w:t xml:space="preserve">A </w:t>
            </w:r>
            <w:r>
              <w:rPr>
                <w:b/>
                <w:i w:val="0"/>
                <w:sz w:val="18"/>
              </w:rPr>
              <w:t>formula</w:t>
            </w:r>
            <w:r>
              <w:rPr>
                <w:b w:val="0"/>
                <w:i w:val="0"/>
                <w:sz w:val="18"/>
              </w:rPr>
              <w:t xml:space="preserve"> only calculates the </w:t>
            </w:r>
            <w:r>
              <w:rPr>
                <w:b/>
                <w:i w:val="0"/>
                <w:sz w:val="18"/>
              </w:rPr>
              <w:t>raw</w:t>
            </w:r>
            <w:r>
              <w:rPr>
                <w:b w:val="0"/>
                <w:i w:val="0"/>
                <w:sz w:val="18"/>
              </w:rPr>
              <w:t xml:space="preserve"> quantity. </w:t>
            </w:r>
            <w:r>
              <w:rPr>
                <w:b/>
                <w:i w:val="0"/>
                <w:sz w:val="18"/>
              </w:rPr>
              <w:t>Waste %</w:t>
            </w:r>
            <w:r>
              <w:rPr>
                <w:b w:val="0"/>
                <w:i w:val="0"/>
                <w:sz w:val="18"/>
              </w:rPr>
              <w:t xml:space="preserve"> and </w:t>
            </w:r>
            <w:r>
              <w:rPr>
                <w:b/>
                <w:i w:val="0"/>
                <w:sz w:val="18"/>
              </w:rPr>
              <w:t>rounding</w:t>
            </w:r>
            <w:r>
              <w:rPr>
                <w:b w:val="0"/>
                <w:i w:val="0"/>
                <w:sz w:val="18"/>
              </w:rPr>
              <w:t xml:space="preserve"> (none, or up to 1, 0.5 or 0.25) are separate columns, never numbers hidden in the formula.</w:t>
            </w:r>
          </w:p>
        </w:tc>
        <w:tc>
          <w:tcPr>
            <w:tcW w:type="dxa" w:w="3249"/>
          </w:tcPr>
          <w:p>
            <w:r/>
            <w:r>
              <w:rPr>
                <w:b w:val="0"/>
                <w:i w:val="0"/>
                <w:sz w:val="18"/>
              </w:rPr>
              <w:t>Working</w:t>
            </w:r>
          </w:p>
        </w:tc>
      </w:tr>
      <w:tr>
        <w:tc>
          <w:tcPr>
            <w:tcW w:type="dxa" w:w="3249"/>
          </w:tcPr>
          <w:p>
            <w:r/>
            <w:r>
              <w:rPr>
                <w:b w:val="0"/>
                <w:i w:val="0"/>
                <w:sz w:val="18"/>
              </w:rPr>
              <w:t>MSR-023</w:t>
            </w:r>
          </w:p>
        </w:tc>
        <w:tc>
          <w:tcPr>
            <w:tcW w:type="dxa" w:w="3249"/>
          </w:tcPr>
          <w:p>
            <w:r/>
            <w:r>
              <w:rPr>
                <w:b/>
                <w:i w:val="0"/>
                <w:sz w:val="18"/>
              </w:rPr>
              <w:t>Variables in trade units</w:t>
            </w:r>
            <w:r>
              <w:rPr>
                <w:b w:val="0"/>
                <w:i w:val="0"/>
                <w:sz w:val="18"/>
              </w:rPr>
              <w:t xml:space="preserve">, with the names US estimators use: </w:t>
            </w:r>
            <w:r>
              <w:rPr>
                <w:b w:val="0"/>
                <w:i w:val="0"/>
                <w:sz w:val="18"/>
              </w:rPr>
              <w:t>MeasuredLinear</w:t>
            </w:r>
            <w:r>
              <w:rPr>
                <w:b w:val="0"/>
                <w:i w:val="0"/>
                <w:sz w:val="18"/>
              </w:rPr>
              <w:t xml:space="preserve">, </w:t>
            </w:r>
            <w:r>
              <w:rPr>
                <w:b w:val="0"/>
                <w:i w:val="0"/>
                <w:sz w:val="18"/>
              </w:rPr>
              <w:t>MeasuredArea</w:t>
            </w:r>
            <w:r>
              <w:rPr>
                <w:b w:val="0"/>
                <w:i w:val="0"/>
                <w:sz w:val="18"/>
              </w:rPr>
              <w:t xml:space="preserve">, </w:t>
            </w:r>
            <w:r>
              <w:rPr>
                <w:b w:val="0"/>
                <w:i w:val="0"/>
                <w:sz w:val="18"/>
              </w:rPr>
              <w:t>MeasuredCount</w:t>
            </w:r>
            <w:r>
              <w:rPr>
                <w:b w:val="0"/>
                <w:i w:val="0"/>
                <w:sz w:val="18"/>
              </w:rPr>
              <w:t xml:space="preserve">, </w:t>
            </w:r>
            <w:r>
              <w:rPr>
                <w:b w:val="0"/>
                <w:i w:val="0"/>
                <w:sz w:val="18"/>
              </w:rPr>
              <w:t>WallHeight</w:t>
            </w:r>
            <w:r>
              <w:rPr>
                <w:b w:val="0"/>
                <w:i w:val="0"/>
                <w:sz w:val="18"/>
              </w:rPr>
              <w:t xml:space="preserve">, </w:t>
            </w:r>
            <w:r>
              <w:rPr>
                <w:b w:val="0"/>
                <w:i w:val="0"/>
                <w:sz w:val="18"/>
              </w:rPr>
              <w:t>SurfaceArea</w:t>
            </w:r>
            <w:r>
              <w:rPr>
                <w:b w:val="0"/>
                <w:i w:val="0"/>
                <w:sz w:val="18"/>
              </w:rPr>
              <w:t xml:space="preserve">, </w:t>
            </w:r>
            <w:r>
              <w:rPr>
                <w:b w:val="0"/>
                <w:i w:val="0"/>
                <w:sz w:val="18"/>
              </w:rPr>
              <w:t>NetSurfaceArea</w:t>
            </w:r>
            <w:r>
              <w:rPr>
                <w:b w:val="0"/>
                <w:i w:val="0"/>
                <w:sz w:val="18"/>
              </w:rPr>
              <w:t xml:space="preserve">, </w:t>
            </w:r>
            <w:r>
              <w:rPr>
                <w:b w:val="0"/>
                <w:i w:val="0"/>
                <w:sz w:val="18"/>
              </w:rPr>
              <w:t>NetArea</w:t>
            </w:r>
            <w:r>
              <w:rPr>
                <w:b w:val="0"/>
                <w:i w:val="0"/>
                <w:sz w:val="18"/>
              </w:rPr>
              <w:t xml:space="preserve">, </w:t>
            </w:r>
            <w:r>
              <w:rPr>
                <w:b w:val="0"/>
                <w:i w:val="0"/>
                <w:sz w:val="18"/>
              </w:rPr>
              <w:t>OpeningArea</w:t>
            </w:r>
            <w:r>
              <w:rPr>
                <w:b w:val="0"/>
                <w:i w:val="0"/>
                <w:sz w:val="18"/>
              </w:rPr>
              <w:t xml:space="preserve">, </w:t>
            </w:r>
            <w:r>
              <w:rPr>
                <w:b w:val="0"/>
                <w:i w:val="0"/>
                <w:sz w:val="18"/>
              </w:rPr>
              <w:t>OpeningPerimeter</w:t>
            </w:r>
            <w:r>
              <w:rPr>
                <w:b w:val="0"/>
                <w:i w:val="0"/>
                <w:sz w:val="18"/>
              </w:rPr>
              <w:t xml:space="preserve">, </w:t>
            </w:r>
            <w:r>
              <w:rPr>
                <w:b w:val="0"/>
                <w:i w:val="0"/>
                <w:sz w:val="18"/>
              </w:rPr>
              <w:t>VolumeCY</w:t>
            </w:r>
            <w:r>
              <w:rPr>
                <w:b w:val="0"/>
                <w:i w:val="0"/>
                <w:sz w:val="18"/>
              </w:rPr>
              <w:t xml:space="preserve">, </w:t>
            </w:r>
            <w:r>
              <w:rPr>
                <w:b w:val="0"/>
                <w:i w:val="0"/>
                <w:sz w:val="18"/>
              </w:rPr>
              <w:t>PitchedArea</w:t>
            </w:r>
            <w:r>
              <w:rPr>
                <w:b w:val="0"/>
                <w:i w:val="0"/>
                <w:sz w:val="18"/>
              </w:rPr>
              <w:t>…</w:t>
            </w:r>
          </w:p>
        </w:tc>
        <w:tc>
          <w:tcPr>
            <w:tcW w:type="dxa" w:w="3249"/>
          </w:tcPr>
          <w:p>
            <w:r/>
            <w:r>
              <w:rPr>
                <w:b w:val="0"/>
                <w:i w:val="0"/>
                <w:sz w:val="18"/>
              </w:rPr>
              <w:t>Working</w:t>
            </w:r>
          </w:p>
        </w:tc>
      </w:tr>
      <w:tr>
        <w:tc>
          <w:tcPr>
            <w:tcW w:type="dxa" w:w="3249"/>
          </w:tcPr>
          <w:p>
            <w:r/>
            <w:r>
              <w:rPr>
                <w:b w:val="0"/>
                <w:i w:val="0"/>
                <w:sz w:val="18"/>
              </w:rPr>
              <w:t>MSR-024</w:t>
            </w:r>
          </w:p>
        </w:tc>
        <w:tc>
          <w:tcPr>
            <w:tcW w:type="dxa" w:w="3249"/>
          </w:tcPr>
          <w:p>
            <w:r/>
            <w:r>
              <w:rPr>
                <w:b/>
                <w:i w:val="0"/>
                <w:sz w:val="18"/>
              </w:rPr>
              <w:t>Safe formulas:</w:t>
            </w:r>
            <w:r>
              <w:rPr>
                <w:b w:val="0"/>
                <w:i w:val="0"/>
                <w:sz w:val="18"/>
              </w:rPr>
              <w:t xml:space="preserve"> only numbers, + − × ÷ ^, parentheses, the variables of the type and </w:t>
            </w:r>
            <w:r>
              <w:rPr>
                <w:b w:val="0"/>
                <w:i w:val="0"/>
                <w:sz w:val="18"/>
              </w:rPr>
              <w:t>ceil floor round min max sqrt abs</w:t>
            </w:r>
            <w:r>
              <w:rPr>
                <w:b w:val="0"/>
                <w:i w:val="0"/>
                <w:sz w:val="18"/>
              </w:rPr>
              <w:t>. Anything else is refused when typing and when saving; formulas are never executed as code.</w:t>
            </w:r>
          </w:p>
        </w:tc>
        <w:tc>
          <w:tcPr>
            <w:tcW w:type="dxa" w:w="3249"/>
          </w:tcPr>
          <w:p>
            <w:r/>
            <w:r>
              <w:rPr>
                <w:b w:val="0"/>
                <w:i w:val="0"/>
                <w:sz w:val="18"/>
              </w:rPr>
              <w:t>Working</w:t>
            </w:r>
          </w:p>
        </w:tc>
      </w:tr>
      <w:tr>
        <w:tc>
          <w:tcPr>
            <w:tcW w:type="dxa" w:w="3249"/>
          </w:tcPr>
          <w:p>
            <w:r/>
            <w:r>
              <w:rPr>
                <w:b w:val="0"/>
                <w:i w:val="0"/>
                <w:sz w:val="18"/>
              </w:rPr>
              <w:t>MSR-025</w:t>
            </w:r>
          </w:p>
        </w:tc>
        <w:tc>
          <w:tcPr>
            <w:tcW w:type="dxa" w:w="3249"/>
          </w:tcPr>
          <w:p>
            <w:r/>
            <w:r>
              <w:rPr>
                <w:b w:val="0"/>
                <w:i w:val="0"/>
                <w:sz w:val="18"/>
              </w:rPr>
              <w:t>A formula is tested with sample values when saved; division by zero and negative results are refused, and the error names the line.</w:t>
            </w:r>
          </w:p>
        </w:tc>
        <w:tc>
          <w:tcPr>
            <w:tcW w:type="dxa" w:w="3249"/>
          </w:tcPr>
          <w:p>
            <w:r/>
            <w:r>
              <w:rPr>
                <w:b w:val="0"/>
                <w:i w:val="0"/>
                <w:sz w:val="18"/>
              </w:rPr>
              <w:t>Working</w:t>
            </w:r>
          </w:p>
        </w:tc>
      </w:tr>
      <w:tr>
        <w:tc>
          <w:tcPr>
            <w:tcW w:type="dxa" w:w="3249"/>
          </w:tcPr>
          <w:p>
            <w:r/>
            <w:r>
              <w:rPr>
                <w:b w:val="0"/>
                <w:i w:val="0"/>
                <w:sz w:val="18"/>
              </w:rPr>
              <w:t>MSR-026</w:t>
            </w:r>
          </w:p>
        </w:tc>
        <w:tc>
          <w:tcPr>
            <w:tcW w:type="dxa" w:w="3249"/>
          </w:tcPr>
          <w:p>
            <w:r/>
            <w:r>
              <w:rPr>
                <w:b/>
                <w:i w:val="0"/>
                <w:sz w:val="18"/>
              </w:rPr>
              <w:t>A missing property does not break the takeoff:</w:t>
            </w:r>
            <w:r>
              <w:rPr>
                <w:b w:val="0"/>
                <w:i w:val="0"/>
                <w:sz w:val="18"/>
              </w:rPr>
              <w:t xml:space="preserve"> if an assembly needs </w:t>
            </w:r>
            <w:r>
              <w:rPr>
                <w:b w:val="0"/>
                <w:i w:val="0"/>
                <w:sz w:val="18"/>
              </w:rPr>
              <w:t>SurfaceArea</w:t>
            </w:r>
            <w:r>
              <w:rPr>
                <w:b w:val="0"/>
                <w:i w:val="0"/>
                <w:sz w:val="18"/>
              </w:rPr>
              <w:t xml:space="preserve"> and the condition has no height, the line becomes a </w:t>
            </w:r>
            <w:r>
              <w:rPr>
                <w:b/>
                <w:i w:val="0"/>
                <w:sz w:val="18"/>
              </w:rPr>
              <w:t>to-do</w:t>
            </w:r>
            <w:r>
              <w:rPr>
                <w:b w:val="0"/>
                <w:i w:val="0"/>
                <w:sz w:val="18"/>
              </w:rPr>
              <w:t xml:space="preserve"> ("missing on the condition: height").</w:t>
            </w:r>
          </w:p>
        </w:tc>
        <w:tc>
          <w:tcPr>
            <w:tcW w:type="dxa" w:w="3249"/>
          </w:tcPr>
          <w:p>
            <w:r/>
            <w:r>
              <w:rPr>
                <w:b w:val="0"/>
                <w:i w:val="0"/>
                <w:sz w:val="18"/>
              </w:rPr>
              <w:t>Working</w:t>
            </w:r>
          </w:p>
        </w:tc>
      </w:tr>
      <w:tr>
        <w:tc>
          <w:tcPr>
            <w:tcW w:type="dxa" w:w="3249"/>
          </w:tcPr>
          <w:p>
            <w:r/>
            <w:r>
              <w:rPr>
                <w:b w:val="0"/>
                <w:i w:val="0"/>
                <w:sz w:val="18"/>
              </w:rPr>
              <w:t>MSR-027</w:t>
            </w:r>
          </w:p>
        </w:tc>
        <w:tc>
          <w:tcPr>
            <w:tcW w:type="dxa" w:w="3249"/>
          </w:tcPr>
          <w:p>
            <w:r/>
            <w:r>
              <w:rPr>
                <w:b w:val="0"/>
                <w:i w:val="0"/>
                <w:sz w:val="18"/>
              </w:rPr>
              <w:t xml:space="preserve">Rounding is applied </w:t>
            </w:r>
            <w:r>
              <w:rPr>
                <w:b/>
                <w:i w:val="0"/>
                <w:sz w:val="18"/>
              </w:rPr>
              <w:t>per line</w:t>
            </w:r>
            <w:r>
              <w:rPr>
                <w:b w:val="0"/>
                <w:i w:val="0"/>
                <w:sz w:val="18"/>
              </w:rPr>
              <w:t xml:space="preserve"> (the way each trade buys); the item total adds up the lines.</w:t>
            </w:r>
          </w:p>
        </w:tc>
        <w:tc>
          <w:tcPr>
            <w:tcW w:type="dxa" w:w="3249"/>
          </w:tcPr>
          <w:p>
            <w:r/>
            <w:r>
              <w:rPr>
                <w:b w:val="0"/>
                <w:i w:val="0"/>
                <w:sz w:val="18"/>
              </w:rPr>
              <w:t>Working</w:t>
            </w:r>
          </w:p>
        </w:tc>
      </w:tr>
      <w:tr>
        <w:tc>
          <w:tcPr>
            <w:tcW w:type="dxa" w:w="3249"/>
          </w:tcPr>
          <w:p>
            <w:r/>
            <w:r>
              <w:rPr>
                <w:b w:val="0"/>
                <w:i w:val="0"/>
                <w:sz w:val="18"/>
              </w:rPr>
              <w:t>MSR-028</w:t>
            </w:r>
          </w:p>
        </w:tc>
        <w:tc>
          <w:tcPr>
            <w:tcW w:type="dxa" w:w="3249"/>
          </w:tcPr>
          <w:p>
            <w:r/>
            <w:r>
              <w:rPr>
                <w:b/>
                <w:i w:val="0"/>
                <w:sz w:val="18"/>
              </w:rPr>
              <w:t>Full trace:</w:t>
            </w:r>
            <w:r>
              <w:rPr>
                <w:b w:val="0"/>
                <w:i w:val="0"/>
                <w:sz w:val="18"/>
              </w:rPr>
              <w:t xml:space="preserve"> each material shows condition · assembly → formula = raw → + waste → rounded, with the values of the variables. The CSV export carries the same trace.</w:t>
            </w:r>
          </w:p>
        </w:tc>
        <w:tc>
          <w:tcPr>
            <w:tcW w:type="dxa" w:w="3249"/>
          </w:tcPr>
          <w:p>
            <w:r/>
            <w:r>
              <w:rPr>
                <w:b w:val="0"/>
                <w:i w:val="0"/>
                <w:sz w:val="18"/>
              </w:rPr>
              <w:t>Working</w:t>
            </w:r>
          </w:p>
        </w:tc>
      </w:tr>
    </w:tbl>
    <w:p>
      <w:pPr>
        <w:pStyle w:val="Heading1"/>
      </w:pPr>
      <w:r>
        <w:rPr>
          <w:b w:val="0"/>
          <w:i w:val="0"/>
        </w:rPr>
        <w:t>Projects</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ID</w:t>
            </w:r>
          </w:p>
        </w:tc>
        <w:tc>
          <w:tcPr>
            <w:tcW w:type="dxa" w:w="3249"/>
          </w:tcPr>
          <w:p>
            <w:pPr>
              <w:shd w:val="clear" w:color="auto" w:fill="F2F4F7"/>
            </w:pPr>
            <w:r/>
            <w:r>
              <w:rPr>
                <w:b/>
                <w:i w:val="0"/>
                <w:sz w:val="18"/>
              </w:rPr>
              <w:t>Rule</w:t>
            </w:r>
          </w:p>
        </w:tc>
        <w:tc>
          <w:tcPr>
            <w:tcW w:type="dxa" w:w="3249"/>
          </w:tcPr>
          <w:p>
            <w:pPr>
              <w:shd w:val="clear" w:color="auto" w:fill="F2F4F7"/>
            </w:pPr>
            <w:r/>
            <w:r>
              <w:rPr>
                <w:b/>
                <w:i w:val="0"/>
                <w:sz w:val="18"/>
              </w:rPr>
              <w:t>Status</w:t>
            </w:r>
          </w:p>
        </w:tc>
      </w:tr>
      <w:tr>
        <w:tc>
          <w:tcPr>
            <w:tcW w:type="dxa" w:w="3249"/>
          </w:tcPr>
          <w:p>
            <w:r/>
            <w:r>
              <w:rPr>
                <w:b w:val="0"/>
                <w:i w:val="0"/>
                <w:sz w:val="18"/>
              </w:rPr>
              <w:t>MSR-030</w:t>
            </w:r>
          </w:p>
        </w:tc>
        <w:tc>
          <w:tcPr>
            <w:tcW w:type="dxa" w:w="3249"/>
          </w:tcPr>
          <w:p>
            <w:r/>
            <w:r>
              <w:rPr>
                <w:b w:val="0"/>
                <w:i w:val="0"/>
                <w:sz w:val="18"/>
              </w:rPr>
              <w:t>Name, client, city and state are required; state with 2 letters, ZIP with 5 digits (or 5+4).</w:t>
            </w:r>
          </w:p>
        </w:tc>
        <w:tc>
          <w:tcPr>
            <w:tcW w:type="dxa" w:w="3249"/>
          </w:tcPr>
          <w:p>
            <w:r/>
            <w:r>
              <w:rPr>
                <w:b w:val="0"/>
                <w:i w:val="0"/>
                <w:sz w:val="18"/>
              </w:rPr>
              <w:t>Working</w:t>
            </w:r>
          </w:p>
        </w:tc>
      </w:tr>
      <w:tr>
        <w:tc>
          <w:tcPr>
            <w:tcW w:type="dxa" w:w="3249"/>
          </w:tcPr>
          <w:p>
            <w:r/>
            <w:r>
              <w:rPr>
                <w:b w:val="0"/>
                <w:i w:val="0"/>
                <w:sz w:val="18"/>
              </w:rPr>
              <w:t>MSR-031</w:t>
            </w:r>
          </w:p>
        </w:tc>
        <w:tc>
          <w:tcPr>
            <w:tcW w:type="dxa" w:w="3249"/>
          </w:tcPr>
          <w:p>
            <w:r/>
            <w:r>
              <w:rPr>
                <w:b/>
                <w:i w:val="0"/>
                <w:sz w:val="18"/>
              </w:rPr>
              <w:t>Status:</w:t>
            </w:r>
            <w:r>
              <w:rPr>
                <w:b w:val="0"/>
                <w:i w:val="0"/>
                <w:sz w:val="18"/>
              </w:rPr>
              <w:t xml:space="preserve"> Estimating → Proposal sent → Won or Lost. The bid due date alerts (overdue, today, within 3 days) only while Estimating.</w:t>
            </w:r>
          </w:p>
        </w:tc>
        <w:tc>
          <w:tcPr>
            <w:tcW w:type="dxa" w:w="3249"/>
          </w:tcPr>
          <w:p>
            <w:r/>
            <w:r>
              <w:rPr>
                <w:b w:val="0"/>
                <w:i w:val="0"/>
                <w:sz w:val="18"/>
              </w:rPr>
              <w:t>Working</w:t>
            </w:r>
          </w:p>
        </w:tc>
      </w:tr>
      <w:tr>
        <w:tc>
          <w:tcPr>
            <w:tcW w:type="dxa" w:w="3249"/>
          </w:tcPr>
          <w:p>
            <w:r/>
            <w:r>
              <w:rPr>
                <w:b w:val="0"/>
                <w:i w:val="0"/>
                <w:sz w:val="18"/>
              </w:rPr>
              <w:t>MSR-032</w:t>
            </w:r>
          </w:p>
        </w:tc>
        <w:tc>
          <w:tcPr>
            <w:tcW w:type="dxa" w:w="3249"/>
          </w:tcPr>
          <w:p>
            <w:r/>
            <w:r>
              <w:rPr>
                <w:b w:val="0"/>
                <w:i w:val="0"/>
                <w:sz w:val="18"/>
              </w:rPr>
              <w:t>Deleting a project deletes its sheets and conditions, after confirmation.</w:t>
            </w:r>
          </w:p>
        </w:tc>
        <w:tc>
          <w:tcPr>
            <w:tcW w:type="dxa" w:w="3249"/>
          </w:tcPr>
          <w:p>
            <w:r/>
            <w:r>
              <w:rPr>
                <w:b w:val="0"/>
                <w:i w:val="0"/>
                <w:sz w:val="18"/>
              </w:rPr>
              <w:t>Working</w:t>
            </w:r>
          </w:p>
        </w:tc>
      </w:tr>
      <w:tr>
        <w:tc>
          <w:tcPr>
            <w:tcW w:type="dxa" w:w="3249"/>
          </w:tcPr>
          <w:p>
            <w:r/>
            <w:r>
              <w:rPr>
                <w:b w:val="0"/>
                <w:i w:val="0"/>
                <w:sz w:val="18"/>
              </w:rPr>
              <w:t>MSR-033</w:t>
            </w:r>
          </w:p>
        </w:tc>
        <w:tc>
          <w:tcPr>
            <w:tcW w:type="dxa" w:w="3249"/>
          </w:tcPr>
          <w:p>
            <w:r/>
            <w:r>
              <w:rPr>
                <w:b w:val="0"/>
                <w:i w:val="0"/>
                <w:sz w:val="18"/>
              </w:rPr>
              <w:t xml:space="preserve">A </w:t>
            </w:r>
            <w:r>
              <w:rPr>
                <w:b/>
                <w:i w:val="0"/>
                <w:sz w:val="18"/>
              </w:rPr>
              <w:t>won</w:t>
            </w:r>
            <w:r>
              <w:rPr>
                <w:b w:val="0"/>
                <w:i w:val="0"/>
                <w:sz w:val="18"/>
              </w:rPr>
              <w:t xml:space="preserve"> project can create the job (Settings › Jobs), with the client and address filled in; project and job stay linked.</w:t>
            </w:r>
          </w:p>
        </w:tc>
        <w:tc>
          <w:tcPr>
            <w:tcW w:type="dxa" w:w="3249"/>
          </w:tcPr>
          <w:p>
            <w:r/>
            <w:r>
              <w:rPr>
                <w:b w:val="0"/>
                <w:i w:val="0"/>
                <w:sz w:val="18"/>
              </w:rPr>
              <w:t>Working</w:t>
            </w:r>
          </w:p>
        </w:tc>
      </w:tr>
    </w:tbl>
    <w:p>
      <w:pPr>
        <w:pStyle w:val="Heading1"/>
      </w:pPr>
      <w:r>
        <w:rPr>
          <w:b w:val="0"/>
          <w:i w:val="0"/>
        </w:rPr>
        <w:t>Typicals (what repeats)</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ID</w:t>
            </w:r>
          </w:p>
        </w:tc>
        <w:tc>
          <w:tcPr>
            <w:tcW w:type="dxa" w:w="3249"/>
          </w:tcPr>
          <w:p>
            <w:pPr>
              <w:shd w:val="clear" w:color="auto" w:fill="F2F4F7"/>
            </w:pPr>
            <w:r/>
            <w:r>
              <w:rPr>
                <w:b/>
                <w:i w:val="0"/>
                <w:sz w:val="18"/>
              </w:rPr>
              <w:t>Rule</w:t>
            </w:r>
          </w:p>
        </w:tc>
        <w:tc>
          <w:tcPr>
            <w:tcW w:type="dxa" w:w="3249"/>
          </w:tcPr>
          <w:p>
            <w:pPr>
              <w:shd w:val="clear" w:color="auto" w:fill="F2F4F7"/>
            </w:pPr>
            <w:r/>
            <w:r>
              <w:rPr>
                <w:b/>
                <w:i w:val="0"/>
                <w:sz w:val="18"/>
              </w:rPr>
              <w:t>Status</w:t>
            </w:r>
          </w:p>
        </w:tc>
      </w:tr>
      <w:tr>
        <w:tc>
          <w:tcPr>
            <w:tcW w:type="dxa" w:w="3249"/>
          </w:tcPr>
          <w:p>
            <w:r/>
            <w:r>
              <w:rPr>
                <w:b w:val="0"/>
                <w:i w:val="0"/>
                <w:sz w:val="18"/>
              </w:rPr>
              <w:t>MSR-040</w:t>
            </w:r>
          </w:p>
        </w:tc>
        <w:tc>
          <w:tcPr>
            <w:tcW w:type="dxa" w:w="3249"/>
          </w:tcPr>
          <w:p>
            <w:r/>
            <w:r>
              <w:rPr>
                <w:b w:val="0"/>
                <w:i w:val="0"/>
                <w:sz w:val="18"/>
              </w:rPr>
              <w:t xml:space="preserve">A </w:t>
            </w:r>
            <w:r>
              <w:rPr>
                <w:b/>
                <w:i w:val="0"/>
                <w:sz w:val="18"/>
              </w:rPr>
              <w:t>typical</w:t>
            </w:r>
            <w:r>
              <w:rPr>
                <w:b w:val="0"/>
                <w:i w:val="0"/>
                <w:sz w:val="18"/>
              </w:rPr>
              <w:t xml:space="preserve"> has a name, a region of the sheet (or the whole sheet) and its </w:t>
            </w:r>
            <w:r>
              <w:rPr>
                <w:b/>
                <w:i w:val="0"/>
                <w:sz w:val="18"/>
              </w:rPr>
              <w:t>occurrences</w:t>
            </w:r>
            <w:r>
              <w:rPr>
                <w:b w:val="0"/>
                <w:i w:val="0"/>
                <w:sz w:val="18"/>
              </w:rPr>
              <w:t>: where it repeats and how many times, counting the one drawn (e.g., Building A 3 + Building B 3 = × 6).</w:t>
            </w:r>
          </w:p>
        </w:tc>
        <w:tc>
          <w:tcPr>
            <w:tcW w:type="dxa" w:w="3249"/>
          </w:tcPr>
          <w:p>
            <w:r/>
            <w:r>
              <w:rPr>
                <w:b w:val="0"/>
                <w:i w:val="0"/>
                <w:sz w:val="18"/>
              </w:rPr>
              <w:t>Working</w:t>
            </w:r>
          </w:p>
        </w:tc>
      </w:tr>
      <w:tr>
        <w:tc>
          <w:tcPr>
            <w:tcW w:type="dxa" w:w="3249"/>
          </w:tcPr>
          <w:p>
            <w:r/>
            <w:r>
              <w:rPr>
                <w:b w:val="0"/>
                <w:i w:val="0"/>
                <w:sz w:val="18"/>
              </w:rPr>
              <w:t>MSR-041</w:t>
            </w:r>
          </w:p>
        </w:tc>
        <w:tc>
          <w:tcPr>
            <w:tcW w:type="dxa" w:w="3249"/>
          </w:tcPr>
          <w:p>
            <w:r/>
            <w:r>
              <w:rPr>
                <w:b w:val="0"/>
                <w:i w:val="0"/>
                <w:sz w:val="18"/>
              </w:rPr>
              <w:t xml:space="preserve">A measurement belongs to the typical when its </w:t>
            </w:r>
            <w:r>
              <w:rPr>
                <w:b/>
                <w:i w:val="0"/>
                <w:sz w:val="18"/>
              </w:rPr>
              <w:t>center</w:t>
            </w:r>
            <w:r>
              <w:rPr>
                <w:b w:val="0"/>
                <w:i w:val="0"/>
                <w:sz w:val="18"/>
              </w:rPr>
              <w:t xml:space="preserve"> falls inside the region; it counts × the total of occurrences.</w:t>
            </w:r>
          </w:p>
        </w:tc>
        <w:tc>
          <w:tcPr>
            <w:tcW w:type="dxa" w:w="3249"/>
          </w:tcPr>
          <w:p>
            <w:r/>
            <w:r>
              <w:rPr>
                <w:b w:val="0"/>
                <w:i w:val="0"/>
                <w:sz w:val="18"/>
              </w:rPr>
              <w:t>Working</w:t>
            </w:r>
          </w:p>
        </w:tc>
      </w:tr>
      <w:tr>
        <w:tc>
          <w:tcPr>
            <w:tcW w:type="dxa" w:w="3249"/>
          </w:tcPr>
          <w:p>
            <w:r/>
            <w:r>
              <w:rPr>
                <w:b w:val="0"/>
                <w:i w:val="0"/>
                <w:sz w:val="18"/>
              </w:rPr>
              <w:t>MSR-042</w:t>
            </w:r>
          </w:p>
        </w:tc>
        <w:tc>
          <w:tcPr>
            <w:tcW w:type="dxa" w:w="3249"/>
          </w:tcPr>
          <w:p>
            <w:r/>
            <w:r>
              <w:rPr>
                <w:b w:val="0"/>
                <w:i w:val="0"/>
                <w:sz w:val="18"/>
              </w:rPr>
              <w:t xml:space="preserve">The multiplication applies </w:t>
            </w:r>
            <w:r>
              <w:rPr>
                <w:b/>
                <w:i w:val="0"/>
                <w:sz w:val="18"/>
              </w:rPr>
              <w:t>everywhere</w:t>
            </w:r>
            <w:r>
              <w:rPr>
                <w:b w:val="0"/>
                <w:i w:val="0"/>
                <w:sz w:val="18"/>
              </w:rPr>
              <w:t>: condition totals, openings, formula variables, materials, quote lists and the proposal.</w:t>
            </w:r>
          </w:p>
        </w:tc>
        <w:tc>
          <w:tcPr>
            <w:tcW w:type="dxa" w:w="3249"/>
          </w:tcPr>
          <w:p>
            <w:r/>
            <w:r>
              <w:rPr>
                <w:b w:val="0"/>
                <w:i w:val="0"/>
                <w:sz w:val="18"/>
              </w:rPr>
              <w:t>Working</w:t>
            </w:r>
          </w:p>
        </w:tc>
      </w:tr>
      <w:tr>
        <w:tc>
          <w:tcPr>
            <w:tcW w:type="dxa" w:w="3249"/>
          </w:tcPr>
          <w:p>
            <w:r/>
            <w:r>
              <w:rPr>
                <w:b w:val="0"/>
                <w:i w:val="0"/>
                <w:sz w:val="18"/>
              </w:rPr>
              <w:t>MSR-043</w:t>
            </w:r>
          </w:p>
        </w:tc>
        <w:tc>
          <w:tcPr>
            <w:tcW w:type="dxa" w:w="3249"/>
          </w:tcPr>
          <w:p>
            <w:r/>
            <w:r>
              <w:rPr>
                <w:b w:val="0"/>
                <w:i w:val="0"/>
                <w:sz w:val="18"/>
              </w:rPr>
              <w:t>Typicals do not overlap, and a whole-sheet typical cannot coexist with regions on the same sheet (it would multiply twice).</w:t>
            </w:r>
          </w:p>
        </w:tc>
        <w:tc>
          <w:tcPr>
            <w:tcW w:type="dxa" w:w="3249"/>
          </w:tcPr>
          <w:p>
            <w:r/>
            <w:r>
              <w:rPr>
                <w:b w:val="0"/>
                <w:i w:val="0"/>
                <w:sz w:val="18"/>
              </w:rPr>
              <w:t>Working</w:t>
            </w:r>
          </w:p>
        </w:tc>
      </w:tr>
      <w:tr>
        <w:tc>
          <w:tcPr>
            <w:tcW w:type="dxa" w:w="3249"/>
          </w:tcPr>
          <w:p>
            <w:r/>
            <w:r>
              <w:rPr>
                <w:b w:val="0"/>
                <w:i w:val="0"/>
                <w:sz w:val="18"/>
              </w:rPr>
              <w:t>MSR-044</w:t>
            </w:r>
          </w:p>
        </w:tc>
        <w:tc>
          <w:tcPr>
            <w:tcW w:type="dxa" w:w="3249"/>
          </w:tcPr>
          <w:p>
            <w:r/>
            <w:r>
              <w:rPr>
                <w:b w:val="0"/>
                <w:i w:val="0"/>
                <w:sz w:val="18"/>
              </w:rPr>
              <w:t>Changing the occurrences recalculates immediately; deleting the typical makes the measurements count once again.</w:t>
            </w:r>
          </w:p>
        </w:tc>
        <w:tc>
          <w:tcPr>
            <w:tcW w:type="dxa" w:w="3249"/>
          </w:tcPr>
          <w:p>
            <w:r/>
            <w:r>
              <w:rPr>
                <w:b w:val="0"/>
                <w:i w:val="0"/>
                <w:sz w:val="18"/>
              </w:rPr>
              <w:t>Working</w:t>
            </w:r>
          </w:p>
        </w:tc>
      </w:tr>
    </w:tbl>
    <w:p>
      <w:pPr>
        <w:pStyle w:val="Heading1"/>
      </w:pPr>
      <w:r>
        <w:rPr>
          <w:b w:val="0"/>
          <w:i w:val="0"/>
        </w:rPr>
        <w:t>Quotes and proposals</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ID</w:t>
            </w:r>
          </w:p>
        </w:tc>
        <w:tc>
          <w:tcPr>
            <w:tcW w:type="dxa" w:w="3249"/>
          </w:tcPr>
          <w:p>
            <w:pPr>
              <w:shd w:val="clear" w:color="auto" w:fill="F2F4F7"/>
            </w:pPr>
            <w:r/>
            <w:r>
              <w:rPr>
                <w:b/>
                <w:i w:val="0"/>
                <w:sz w:val="18"/>
              </w:rPr>
              <w:t>Rule</w:t>
            </w:r>
          </w:p>
        </w:tc>
        <w:tc>
          <w:tcPr>
            <w:tcW w:type="dxa" w:w="3249"/>
          </w:tcPr>
          <w:p>
            <w:pPr>
              <w:shd w:val="clear" w:color="auto" w:fill="F2F4F7"/>
            </w:pPr>
            <w:r/>
            <w:r>
              <w:rPr>
                <w:b/>
                <w:i w:val="0"/>
                <w:sz w:val="18"/>
              </w:rPr>
              <w:t>Status</w:t>
            </w:r>
          </w:p>
        </w:tc>
      </w:tr>
      <w:tr>
        <w:tc>
          <w:tcPr>
            <w:tcW w:type="dxa" w:w="3249"/>
          </w:tcPr>
          <w:p>
            <w:r/>
            <w:r>
              <w:rPr>
                <w:b w:val="0"/>
                <w:i w:val="0"/>
                <w:sz w:val="18"/>
              </w:rPr>
              <w:t>MSR-050</w:t>
            </w:r>
          </w:p>
        </w:tc>
        <w:tc>
          <w:tcPr>
            <w:tcW w:type="dxa" w:w="3249"/>
          </w:tcPr>
          <w:p>
            <w:r/>
            <w:r>
              <w:rPr>
                <w:b w:val="0"/>
                <w:i w:val="0"/>
                <w:sz w:val="18"/>
              </w:rPr>
              <w:t xml:space="preserve">The </w:t>
            </w:r>
            <w:r>
              <w:rPr>
                <w:b/>
                <w:i w:val="0"/>
                <w:sz w:val="18"/>
              </w:rPr>
              <w:t>material list for quotes</w:t>
            </w:r>
            <w:r>
              <w:rPr>
                <w:b w:val="0"/>
                <w:i w:val="0"/>
                <w:sz w:val="18"/>
              </w:rPr>
              <w:t xml:space="preserve"> has only materials (no labor), in purchase units, with waste and rounding, </w:t>
            </w:r>
            <w:r>
              <w:rPr>
                <w:b/>
                <w:i w:val="0"/>
                <w:sz w:val="18"/>
              </w:rPr>
              <w:t>split by supplier</w:t>
            </w:r>
            <w:r>
              <w:rPr>
                <w:b w:val="0"/>
                <w:i w:val="0"/>
                <w:sz w:val="18"/>
              </w:rPr>
              <w:t>: each supplier gets only the cost codes it supplies (Settings › Contacts). Items nobody supplies go to "No supplier".</w:t>
            </w:r>
          </w:p>
        </w:tc>
        <w:tc>
          <w:tcPr>
            <w:tcW w:type="dxa" w:w="3249"/>
          </w:tcPr>
          <w:p>
            <w:r/>
            <w:r>
              <w:rPr>
                <w:b w:val="0"/>
                <w:i w:val="0"/>
                <w:sz w:val="18"/>
              </w:rPr>
              <w:t>Working</w:t>
            </w:r>
          </w:p>
        </w:tc>
      </w:tr>
      <w:tr>
        <w:tc>
          <w:tcPr>
            <w:tcW w:type="dxa" w:w="3249"/>
          </w:tcPr>
          <w:p>
            <w:r/>
            <w:r>
              <w:rPr>
                <w:b w:val="0"/>
                <w:i w:val="0"/>
                <w:sz w:val="18"/>
              </w:rPr>
              <w:t>MSR-051</w:t>
            </w:r>
          </w:p>
        </w:tc>
        <w:tc>
          <w:tcPr>
            <w:tcW w:type="dxa" w:w="3249"/>
          </w:tcPr>
          <w:p>
            <w:r/>
            <w:r>
              <w:rPr>
                <w:b w:val="0"/>
                <w:i w:val="0"/>
                <w:sz w:val="18"/>
              </w:rPr>
              <w:t>Suppliers never see selling prices, labor or formulas.</w:t>
            </w:r>
          </w:p>
        </w:tc>
        <w:tc>
          <w:tcPr>
            <w:tcW w:type="dxa" w:w="3249"/>
          </w:tcPr>
          <w:p>
            <w:r/>
            <w:r>
              <w:rPr>
                <w:b w:val="0"/>
                <w:i w:val="0"/>
                <w:sz w:val="18"/>
              </w:rPr>
              <w:t>Working</w:t>
            </w:r>
          </w:p>
        </w:tc>
      </w:tr>
      <w:tr>
        <w:tc>
          <w:tcPr>
            <w:tcW w:type="dxa" w:w="3249"/>
          </w:tcPr>
          <w:p>
            <w:r/>
            <w:r>
              <w:rPr>
                <w:b w:val="0"/>
                <w:i w:val="0"/>
                <w:sz w:val="18"/>
              </w:rPr>
              <w:t>MSR-052</w:t>
            </w:r>
          </w:p>
        </w:tc>
        <w:tc>
          <w:tcPr>
            <w:tcW w:type="dxa" w:w="3249"/>
          </w:tcPr>
          <w:p>
            <w:r/>
            <w:r>
              <w:rPr>
                <w:b w:val="0"/>
                <w:i w:val="0"/>
                <w:sz w:val="18"/>
              </w:rPr>
              <w:t>Prices a supplier sends back can be entered on the list; they become the item's price from that date, with the source "Quote · supplier".</w:t>
            </w:r>
          </w:p>
        </w:tc>
        <w:tc>
          <w:tcPr>
            <w:tcW w:type="dxa" w:w="3249"/>
          </w:tcPr>
          <w:p>
            <w:r/>
            <w:r>
              <w:rPr>
                <w:b w:val="0"/>
                <w:i w:val="0"/>
                <w:sz w:val="18"/>
              </w:rPr>
              <w:t>Working</w:t>
            </w:r>
          </w:p>
        </w:tc>
      </w:tr>
      <w:tr>
        <w:tc>
          <w:tcPr>
            <w:tcW w:type="dxa" w:w="3249"/>
          </w:tcPr>
          <w:p>
            <w:r/>
            <w:r>
              <w:rPr>
                <w:b w:val="0"/>
                <w:i w:val="0"/>
                <w:sz w:val="18"/>
              </w:rPr>
              <w:t>MSR-053</w:t>
            </w:r>
          </w:p>
        </w:tc>
        <w:tc>
          <w:tcPr>
            <w:tcW w:type="dxa" w:w="3249"/>
          </w:tcPr>
          <w:p>
            <w:r/>
            <w:r>
              <w:rPr>
                <w:b/>
                <w:i w:val="0"/>
                <w:sz w:val="18"/>
              </w:rPr>
              <w:t>Prices have effective dates:</w:t>
            </w:r>
            <w:r>
              <w:rPr>
                <w:b w:val="0"/>
                <w:i w:val="0"/>
                <w:sz w:val="18"/>
              </w:rPr>
              <w:t xml:space="preserve"> a new price applies from a date; old prices stay in the history. The proposal uses the price in effect on the day.</w:t>
            </w:r>
          </w:p>
        </w:tc>
        <w:tc>
          <w:tcPr>
            <w:tcW w:type="dxa" w:w="3249"/>
          </w:tcPr>
          <w:p>
            <w:r/>
            <w:r>
              <w:rPr>
                <w:b w:val="0"/>
                <w:i w:val="0"/>
                <w:sz w:val="18"/>
              </w:rPr>
              <w:t>Working</w:t>
            </w:r>
          </w:p>
        </w:tc>
      </w:tr>
      <w:tr>
        <w:tc>
          <w:tcPr>
            <w:tcW w:type="dxa" w:w="3249"/>
          </w:tcPr>
          <w:p>
            <w:r/>
            <w:r>
              <w:rPr>
                <w:b w:val="0"/>
                <w:i w:val="0"/>
                <w:sz w:val="18"/>
              </w:rPr>
              <w:t>MSR-054</w:t>
            </w:r>
          </w:p>
        </w:tc>
        <w:tc>
          <w:tcPr>
            <w:tcW w:type="dxa" w:w="3249"/>
          </w:tcPr>
          <w:p>
            <w:r/>
            <w:r>
              <w:rPr>
                <w:b/>
                <w:i w:val="0"/>
                <w:sz w:val="18"/>
              </w:rPr>
              <w:t>Markups have effective dates:</w:t>
            </w:r>
            <w:r>
              <w:rPr>
                <w:b w:val="0"/>
                <w:i w:val="0"/>
                <w:sz w:val="18"/>
              </w:rPr>
              <w:t xml:space="preserve"> overhead % on cost; profit as </w:t>
            </w:r>
            <w:r>
              <w:rPr>
                <w:b/>
                <w:i w:val="0"/>
                <w:sz w:val="18"/>
              </w:rPr>
              <w:t>markup</w:t>
            </w:r>
            <w:r>
              <w:rPr>
                <w:b w:val="0"/>
                <w:i w:val="0"/>
                <w:sz w:val="18"/>
              </w:rPr>
              <w:t xml:space="preserve"> (% on cost + overhead) or as </w:t>
            </w:r>
            <w:r>
              <w:rPr>
                <w:b/>
                <w:i w:val="0"/>
                <w:sz w:val="18"/>
              </w:rPr>
              <w:t>margin</w:t>
            </w:r>
            <w:r>
              <w:rPr>
                <w:b w:val="0"/>
                <w:i w:val="0"/>
                <w:sz w:val="18"/>
              </w:rPr>
              <w:t xml:space="preserve"> (% of the selling price); sales tax on materials (a setting; 0 in the New Hampshire example).</w:t>
            </w:r>
          </w:p>
        </w:tc>
        <w:tc>
          <w:tcPr>
            <w:tcW w:type="dxa" w:w="3249"/>
          </w:tcPr>
          <w:p>
            <w:r/>
            <w:r>
              <w:rPr>
                <w:b w:val="0"/>
                <w:i w:val="0"/>
                <w:sz w:val="18"/>
              </w:rPr>
              <w:t>Working</w:t>
            </w:r>
          </w:p>
        </w:tc>
      </w:tr>
      <w:tr>
        <w:tc>
          <w:tcPr>
            <w:tcW w:type="dxa" w:w="3249"/>
          </w:tcPr>
          <w:p>
            <w:r/>
            <w:r>
              <w:rPr>
                <w:b w:val="0"/>
                <w:i w:val="0"/>
                <w:sz w:val="18"/>
              </w:rPr>
              <w:t>MSR-055</w:t>
            </w:r>
          </w:p>
        </w:tc>
        <w:tc>
          <w:tcPr>
            <w:tcW w:type="dxa" w:w="3249"/>
          </w:tcPr>
          <w:p>
            <w:r/>
            <w:r>
              <w:rPr>
                <w:b/>
                <w:i w:val="0"/>
                <w:sz w:val="18"/>
              </w:rPr>
              <w:t>Calculated line price</w:t>
            </w:r>
            <w:r>
              <w:rPr>
                <w:b w:val="0"/>
                <w:i w:val="0"/>
                <w:sz w:val="18"/>
              </w:rPr>
              <w:t xml:space="preserve"> = (materials × (1 + tax) + labor + other) × (1 + overhead), then + profit (markup: × (1 + profit); margin: ÷ (1 − profit)).</w:t>
            </w:r>
          </w:p>
        </w:tc>
        <w:tc>
          <w:tcPr>
            <w:tcW w:type="dxa" w:w="3249"/>
          </w:tcPr>
          <w:p>
            <w:r/>
            <w:r>
              <w:rPr>
                <w:b w:val="0"/>
                <w:i w:val="0"/>
                <w:sz w:val="18"/>
              </w:rPr>
              <w:t>Working</w:t>
            </w:r>
          </w:p>
        </w:tc>
      </w:tr>
      <w:tr>
        <w:tc>
          <w:tcPr>
            <w:tcW w:type="dxa" w:w="3249"/>
          </w:tcPr>
          <w:p>
            <w:r/>
            <w:r>
              <w:rPr>
                <w:b w:val="0"/>
                <w:i w:val="0"/>
                <w:sz w:val="18"/>
              </w:rPr>
              <w:t>MSR-056</w:t>
            </w:r>
          </w:p>
        </w:tc>
        <w:tc>
          <w:tcPr>
            <w:tcW w:type="dxa" w:w="3249"/>
          </w:tcPr>
          <w:p>
            <w:r/>
            <w:r>
              <w:rPr>
                <w:b w:val="0"/>
                <w:i w:val="0"/>
                <w:sz w:val="18"/>
              </w:rPr>
              <w:t xml:space="preserve">The proposal has </w:t>
            </w:r>
            <w:r>
              <w:rPr>
                <w:b/>
                <w:i w:val="0"/>
                <w:sz w:val="18"/>
              </w:rPr>
              <w:t>one line per cost code</w:t>
            </w:r>
            <w:r>
              <w:rPr>
                <w:b w:val="0"/>
                <w:i w:val="0"/>
                <w:sz w:val="18"/>
              </w:rPr>
              <w:t>, materials and labor together. Any line price can be typed instead of the calculated one; clearing it goes back to the calculated price. Lines can be left out, and other items (mobilization, dumpster…) added.</w:t>
            </w:r>
          </w:p>
        </w:tc>
        <w:tc>
          <w:tcPr>
            <w:tcW w:type="dxa" w:w="3249"/>
          </w:tcPr>
          <w:p>
            <w:r/>
            <w:r>
              <w:rPr>
                <w:b w:val="0"/>
                <w:i w:val="0"/>
                <w:sz w:val="18"/>
              </w:rPr>
              <w:t>Working</w:t>
            </w:r>
          </w:p>
        </w:tc>
      </w:tr>
      <w:tr>
        <w:tc>
          <w:tcPr>
            <w:tcW w:type="dxa" w:w="3249"/>
          </w:tcPr>
          <w:p>
            <w:r/>
            <w:r>
              <w:rPr>
                <w:b w:val="0"/>
                <w:i w:val="0"/>
                <w:sz w:val="18"/>
              </w:rPr>
              <w:t>MSR-057</w:t>
            </w:r>
          </w:p>
        </w:tc>
        <w:tc>
          <w:tcPr>
            <w:tcW w:type="dxa" w:w="3249"/>
          </w:tcPr>
          <w:p>
            <w:r/>
            <w:r>
              <w:rPr>
                <w:b/>
                <w:i w:val="0"/>
                <w:sz w:val="18"/>
              </w:rPr>
              <w:t>Issuing</w:t>
            </w:r>
            <w:r>
              <w:rPr>
                <w:b w:val="0"/>
                <w:i w:val="0"/>
                <w:sz w:val="18"/>
              </w:rPr>
              <w:t xml:space="preserve"> requires a client, at least one line and a price on every included line. The issued proposal gets a </w:t>
            </w:r>
            <w:r>
              <w:rPr>
                <w:b/>
                <w:i w:val="0"/>
                <w:sz w:val="18"/>
              </w:rPr>
              <w:t>number</w:t>
            </w:r>
            <w:r>
              <w:rPr>
                <w:b w:val="0"/>
                <w:i w:val="0"/>
                <w:sz w:val="18"/>
              </w:rPr>
              <w:t xml:space="preserve"> (</w:t>
            </w:r>
            <w:r>
              <w:rPr>
                <w:b w:val="0"/>
                <w:i w:val="0"/>
                <w:sz w:val="18"/>
              </w:rPr>
              <w:t>P-YYYY-NNN</w:t>
            </w:r>
            <w:r>
              <w:rPr>
                <w:b w:val="0"/>
                <w:i w:val="0"/>
                <w:sz w:val="18"/>
              </w:rPr>
              <w:t xml:space="preserve">) and is </w:t>
            </w:r>
            <w:r>
              <w:rPr>
                <w:b/>
                <w:i w:val="0"/>
                <w:sz w:val="18"/>
              </w:rPr>
              <w:t>frozen</w:t>
            </w:r>
            <w:r>
              <w:rPr>
                <w:b w:val="0"/>
                <w:i w:val="0"/>
                <w:sz w:val="18"/>
              </w:rPr>
              <w:t>: later changes do not affect what was sent. Each issue is a new version.</w:t>
            </w:r>
          </w:p>
        </w:tc>
        <w:tc>
          <w:tcPr>
            <w:tcW w:type="dxa" w:w="3249"/>
          </w:tcPr>
          <w:p>
            <w:r/>
            <w:r>
              <w:rPr>
                <w:b w:val="0"/>
                <w:i w:val="0"/>
                <w:sz w:val="18"/>
              </w:rPr>
              <w:t>Working</w:t>
            </w:r>
          </w:p>
        </w:tc>
      </w:tr>
      <w:tr>
        <w:tc>
          <w:tcPr>
            <w:tcW w:type="dxa" w:w="3249"/>
          </w:tcPr>
          <w:p>
            <w:r/>
            <w:r>
              <w:rPr>
                <w:b w:val="0"/>
                <w:i w:val="0"/>
                <w:sz w:val="18"/>
              </w:rPr>
              <w:t>MSR-058</w:t>
            </w:r>
          </w:p>
        </w:tc>
        <w:tc>
          <w:tcPr>
            <w:tcW w:type="dxa" w:w="3249"/>
          </w:tcPr>
          <w:p>
            <w:r/>
            <w:r>
              <w:rPr>
                <w:b w:val="0"/>
                <w:i w:val="0"/>
                <w:sz w:val="18"/>
              </w:rPr>
              <w:t xml:space="preserve">Issuing moves the project from Estimating to </w:t>
            </w:r>
            <w:r>
              <w:rPr>
                <w:b/>
                <w:i w:val="0"/>
                <w:sz w:val="18"/>
              </w:rPr>
              <w:t>Proposal sent</w:t>
            </w:r>
            <w:r>
              <w:rPr>
                <w:b w:val="0"/>
                <w:i w:val="0"/>
                <w:sz w:val="18"/>
              </w:rPr>
              <w:t>.</w:t>
            </w:r>
          </w:p>
        </w:tc>
        <w:tc>
          <w:tcPr>
            <w:tcW w:type="dxa" w:w="3249"/>
          </w:tcPr>
          <w:p>
            <w:r/>
            <w:r>
              <w:rPr>
                <w:b w:val="0"/>
                <w:i w:val="0"/>
                <w:sz w:val="18"/>
              </w:rPr>
              <w:t>Working</w:t>
            </w:r>
          </w:p>
        </w:tc>
      </w:tr>
      <w:tr>
        <w:tc>
          <w:tcPr>
            <w:tcW w:type="dxa" w:w="3249"/>
          </w:tcPr>
          <w:p>
            <w:r/>
            <w:r>
              <w:rPr>
                <w:b w:val="0"/>
                <w:i w:val="0"/>
                <w:sz w:val="18"/>
              </w:rPr>
              <w:t>MSR-059</w:t>
            </w:r>
          </w:p>
        </w:tc>
        <w:tc>
          <w:tcPr>
            <w:tcW w:type="dxa" w:w="3249"/>
          </w:tcPr>
          <w:p>
            <w:r/>
            <w:r>
              <w:rPr>
                <w:b w:val="0"/>
                <w:i w:val="0"/>
                <w:sz w:val="18"/>
              </w:rPr>
              <w:t xml:space="preserve">The proposal document shows only the price of each line: </w:t>
            </w:r>
            <w:r>
              <w:rPr>
                <w:b/>
                <w:i w:val="0"/>
                <w:sz w:val="18"/>
              </w:rPr>
              <w:t>cost, overhead and profit never go to the client</w:t>
            </w:r>
            <w:r>
              <w:rPr>
                <w:b w:val="0"/>
                <w:i w:val="0"/>
                <w:sz w:val="18"/>
              </w:rPr>
              <w:t>; they stay in the issued version for internal reference.</w:t>
            </w:r>
          </w:p>
        </w:tc>
        <w:tc>
          <w:tcPr>
            <w:tcW w:type="dxa" w:w="3249"/>
          </w:tcPr>
          <w:p>
            <w:r/>
            <w:r>
              <w:rPr>
                <w:b w:val="0"/>
                <w:i w:val="0"/>
                <w:sz w:val="18"/>
              </w:rPr>
              <w:t>Working</w:t>
            </w:r>
          </w:p>
        </w:tc>
      </w:tr>
    </w:tbl>
    <w:p>
      <w:pPr>
        <w:shd w:val="clear" w:color="auto" w:fill="FEF3F2"/>
      </w:pPr>
      <w:r>
        <w:rPr>
          <w:b/>
          <w:i w:val="0"/>
        </w:rPr>
        <w:t>To be confirmed</w:t>
      </w:r>
    </w:p>
    <w:p>
      <w:pPr>
        <w:pStyle w:val="ListBullet"/>
        <w:shd w:val="clear" w:color="auto" w:fill="FEF3F2"/>
      </w:pPr>
      <w:r>
        <w:rPr>
          <w:b w:val="0"/>
          <w:i w:val="0"/>
        </w:rPr>
        <w:t>Whether the client sees material quantities on the proposal by default (today: an option per proposal).</w:t>
      </w:r>
    </w:p>
    <w:p>
      <w:pPr>
        <w:pStyle w:val="ListBullet"/>
        <w:shd w:val="clear" w:color="auto" w:fill="FEF3F2"/>
      </w:pPr>
      <w:r>
        <w:rPr>
          <w:b w:val="0"/>
          <w:i w:val="0"/>
        </w:rPr>
        <w:t>Changing a project's status and entering supplier prices from the phone.</w:t>
      </w:r>
    </w:p>
    <w:p>
      <w:pPr>
        <w:pStyle w:val="ListBullet"/>
        <w:shd w:val="clear" w:color="auto" w:fill="FEF3F2"/>
      </w:pPr>
      <w:r>
        <w:rPr>
          <w:b w:val="0"/>
          <w:i w:val="0"/>
        </w:rPr>
        <w:t>Snapping clicks to the lines of vector PDFs, for more precision.</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1B2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1B2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1B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