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Concorrências — Situação do protótipo</w:t>
      </w:r>
    </w:p>
    <w:p>
      <w:r>
        <w:rPr>
          <w:i/>
        </w:rPr>
        <w:t>Guia do produto KORbuild</w:t>
      </w:r>
    </w:p>
    <w:p>
      <w:r>
        <w:rPr>
          <w:b w:val="0"/>
          <w:i w:val="0"/>
        </w:rPr>
        <w:t xml:space="preserve">O protótipo (a demonstração com dados de exemplo) mostra o produto funcionando. Ao lado dele, a </w:t>
      </w:r>
      <w:r>
        <w:rPr>
          <w:b/>
          <w:i w:val="0"/>
        </w:rPr>
        <w:t>conta de verdade</w:t>
      </w:r>
      <w:r>
        <w:rPr>
          <w:b w:val="0"/>
          <w:i w:val="0"/>
        </w:rPr>
        <w:t xml:space="preserve"> já roda as concorrências no banco de dados na nuvem e está em homologação. Esta página diz o que é real hoje e o que ainda é simulado na demonstração.</w:t>
      </w:r>
    </w:p>
    <w:p>
      <w:pPr>
        <w:pStyle w:val="Heading1"/>
      </w:pPr>
      <w:r>
        <w:rPr>
          <w:b w:val="0"/>
          <w:i w:val="0"/>
        </w:rPr>
        <w:t>Já funcionando no banco de dados (conta de verdade)</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Como funciona hoje</w:t>
            </w:r>
          </w:p>
        </w:tc>
      </w:tr>
      <w:tr>
        <w:tc>
          <w:tcPr>
            <w:tcW w:type="dxa" w:w="4873"/>
          </w:tcPr>
          <w:p>
            <w:r/>
            <w:r>
              <w:rPr>
                <w:b w:val="0"/>
                <w:i w:val="0"/>
                <w:sz w:val="18"/>
              </w:rPr>
              <w:t>Onde ficam as concorrências</w:t>
            </w:r>
          </w:p>
        </w:tc>
        <w:tc>
          <w:tcPr>
            <w:tcW w:type="dxa" w:w="4873"/>
          </w:tcPr>
          <w:p>
            <w:r/>
            <w:r>
              <w:rPr>
                <w:b w:val="0"/>
                <w:i w:val="0"/>
                <w:sz w:val="18"/>
              </w:rPr>
              <w:t>No servidor, nas tabelas da contratante. Cada convidada recebe só o próprio convite, as próprias propostas e as mensagens que pode ver; nunca vê quem mais foi convidado nem os outros valores. Toda ação depois do envio (prorrogar, convidar mais, adendo, responder, proposta, fechar, cancelar) passa por uma função do banco que confere quem está chamando.</w:t>
            </w:r>
          </w:p>
        </w:tc>
      </w:tr>
      <w:tr>
        <w:tc>
          <w:tcPr>
            <w:tcW w:type="dxa" w:w="4873"/>
          </w:tcPr>
          <w:p>
            <w:r/>
            <w:r>
              <w:rPr>
                <w:b w:val="0"/>
                <w:i w:val="0"/>
                <w:sz w:val="18"/>
              </w:rPr>
              <w:t>Convites para empresas sem conta</w:t>
            </w:r>
          </w:p>
        </w:tc>
        <w:tc>
          <w:tcPr>
            <w:tcW w:type="dxa" w:w="4873"/>
          </w:tcPr>
          <w:p>
            <w:r/>
            <w:r>
              <w:rPr>
                <w:b w:val="0"/>
                <w:i w:val="0"/>
                <w:sz w:val="18"/>
              </w:rPr>
              <w:t>O link do convite é gerado pelo banco ao enviar (só o hash fica guardado) e aparece uma vez, para copiar; fica guardado no aparelho que enviou. O envio por e-mail é a próxima etapa.</w:t>
            </w:r>
          </w:p>
        </w:tc>
      </w:tr>
      <w:tr>
        <w:tc>
          <w:tcPr>
            <w:tcW w:type="dxa" w:w="4873"/>
          </w:tcPr>
          <w:p>
            <w:r/>
            <w:r>
              <w:rPr>
                <w:b w:val="0"/>
                <w:i w:val="0"/>
                <w:sz w:val="18"/>
              </w:rPr>
              <w:t>A página do link</w:t>
            </w:r>
          </w:p>
        </w:tc>
        <w:tc>
          <w:tcPr>
            <w:tcW w:type="dxa" w:w="4873"/>
          </w:tcPr>
          <w:p>
            <w:r/>
            <w:r>
              <w:rPr>
                <w:b w:val="0"/>
                <w:i w:val="0"/>
                <w:sz w:val="18"/>
              </w:rPr>
              <w:t>Abre sem login: a convidada vê o pacote e os desenhos, responde, pergunta e manda a proposta com o PDF. Quando ela cria a conta com o mesmo e-mail, o convite, as mensagens e as propostas vêm junto.</w:t>
            </w:r>
          </w:p>
        </w:tc>
      </w:tr>
      <w:tr>
        <w:tc>
          <w:tcPr>
            <w:tcW w:type="dxa" w:w="4873"/>
          </w:tcPr>
          <w:p>
            <w:r/>
            <w:r>
              <w:rPr>
                <w:b w:val="0"/>
                <w:i w:val="0"/>
                <w:sz w:val="18"/>
              </w:rPr>
              <w:t>Desenhos</w:t>
            </w:r>
          </w:p>
        </w:tc>
        <w:tc>
          <w:tcPr>
            <w:tcW w:type="dxa" w:w="4873"/>
          </w:tcPr>
          <w:p>
            <w:r/>
            <w:r>
              <w:rPr>
                <w:b w:val="0"/>
                <w:i w:val="0"/>
                <w:sz w:val="18"/>
              </w:rPr>
              <w:t>Os PDFs vão para a pasta da concorrência no armazenamento da empresa na nuvem. "Vou cotar" copia cada desenho para o projeto da convidada, folha a folha.</w:t>
            </w:r>
          </w:p>
        </w:tc>
      </w:tr>
      <w:tr>
        <w:tc>
          <w:tcPr>
            <w:tcW w:type="dxa" w:w="4873"/>
          </w:tcPr>
          <w:p>
            <w:r/>
            <w:r>
              <w:rPr>
                <w:b w:val="0"/>
                <w:i w:val="0"/>
                <w:sz w:val="18"/>
              </w:rPr>
              <w:t>PDF da proposta</w:t>
            </w:r>
          </w:p>
        </w:tc>
        <w:tc>
          <w:tcPr>
            <w:tcW w:type="dxa" w:w="4873"/>
          </w:tcPr>
          <w:p>
            <w:r/>
            <w:r>
              <w:rPr>
                <w:b w:val="0"/>
                <w:i w:val="0"/>
                <w:sz w:val="18"/>
              </w:rPr>
              <w:t>Guardado com a proposta, na pasta do convite, para a contratante baixar.</w:t>
            </w:r>
          </w:p>
        </w:tc>
      </w:tr>
      <w:tr>
        <w:tc>
          <w:tcPr>
            <w:tcW w:type="dxa" w:w="4873"/>
          </w:tcPr>
          <w:p>
            <w:r/>
            <w:r>
              <w:rPr>
                <w:b w:val="0"/>
                <w:i w:val="0"/>
                <w:sz w:val="18"/>
              </w:rPr>
              <w:t>Fechamento e a obra ligada</w:t>
            </w:r>
          </w:p>
        </w:tc>
        <w:tc>
          <w:tcPr>
            <w:tcW w:type="dxa" w:w="4873"/>
          </w:tcPr>
          <w:p>
            <w:r/>
            <w:r>
              <w:rPr>
                <w:b w:val="0"/>
                <w:i w:val="0"/>
                <w:sz w:val="18"/>
              </w:rPr>
              <w:t>Fechar marca o projeto da vencedora como ganho; "Criar obra a partir deste projeto" abre o cadastro preenchido e a obra nasce já ligada à obra da contratante, o que liga o diário, o cronograma e a presença no canteiro entre as duas empresas.</w:t>
            </w:r>
          </w:p>
        </w:tc>
      </w:tr>
      <w:tr>
        <w:tc>
          <w:tcPr>
            <w:tcW w:type="dxa" w:w="4873"/>
          </w:tcPr>
          <w:p>
            <w:r/>
            <w:r>
              <w:rPr>
                <w:b w:val="0"/>
                <w:i w:val="0"/>
                <w:sz w:val="18"/>
              </w:rPr>
              <w:t>Canal</w:t>
            </w:r>
          </w:p>
        </w:tc>
        <w:tc>
          <w:tcPr>
            <w:tcW w:type="dxa" w:w="4873"/>
          </w:tcPr>
          <w:p>
            <w:r/>
            <w:r>
              <w:rPr>
                <w:b w:val="0"/>
                <w:i w:val="0"/>
                <w:sz w:val="18"/>
              </w:rPr>
              <w:t>Perguntas, respostas (para todas ou só para quem perguntou), avisos a todos e o canal da obra depois do fechamento, tudo registrado e nunca editado.</w:t>
            </w:r>
          </w:p>
        </w:tc>
      </w:tr>
      <w:tr>
        <w:tc>
          <w:tcPr>
            <w:tcW w:type="dxa" w:w="4873"/>
          </w:tcPr>
          <w:p>
            <w:r/>
            <w:r>
              <w:rPr>
                <w:b w:val="0"/>
                <w:i w:val="0"/>
                <w:sz w:val="18"/>
              </w:rPr>
              <w:t>Quarteirização</w:t>
            </w:r>
          </w:p>
        </w:tc>
        <w:tc>
          <w:tcPr>
            <w:tcW w:type="dxa" w:w="4873"/>
          </w:tcPr>
          <w:p>
            <w:r/>
            <w:r>
              <w:rPr>
                <w:b w:val="0"/>
                <w:i w:val="0"/>
                <w:sz w:val="18"/>
              </w:rPr>
              <w:t>Concorrências abertas a partir de um projeto ou de uma obra ganha, com a política de quem está acima (permitida, com aprovação, não permitida); o pedido de aprovação mostra só a empresa escolhida, nunca o valor.</w:t>
            </w:r>
          </w:p>
        </w:tc>
      </w:tr>
    </w:tbl>
    <w:p>
      <w:pPr>
        <w:pStyle w:val="Heading1"/>
      </w:pPr>
      <w:r>
        <w:rPr>
          <w:b w:val="0"/>
          <w:i w:val="0"/>
        </w:rPr>
        <w:t>Simulado hoje (na demonstração)</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Item</w:t>
            </w:r>
          </w:p>
        </w:tc>
        <w:tc>
          <w:tcPr>
            <w:tcW w:type="dxa" w:w="3249"/>
          </w:tcPr>
          <w:p>
            <w:pPr>
              <w:shd w:val="clear" w:color="auto" w:fill="F2F4F7"/>
            </w:pPr>
            <w:r/>
            <w:r>
              <w:rPr>
                <w:b/>
                <w:i w:val="0"/>
                <w:sz w:val="18"/>
              </w:rPr>
              <w:t>No protótipo</w:t>
            </w:r>
          </w:p>
        </w:tc>
        <w:tc>
          <w:tcPr>
            <w:tcW w:type="dxa" w:w="3249"/>
          </w:tcPr>
          <w:p>
            <w:pPr>
              <w:shd w:val="clear" w:color="auto" w:fill="F2F4F7"/>
            </w:pPr>
            <w:r/>
            <w:r>
              <w:rPr>
                <w:b/>
                <w:i w:val="0"/>
                <w:sz w:val="18"/>
              </w:rPr>
              <w:t>No produto</w:t>
            </w:r>
          </w:p>
        </w:tc>
      </w:tr>
      <w:tr>
        <w:tc>
          <w:tcPr>
            <w:tcW w:type="dxa" w:w="3249"/>
          </w:tcPr>
          <w:p>
            <w:r/>
            <w:r>
              <w:rPr>
                <w:b w:val="0"/>
                <w:i w:val="0"/>
                <w:sz w:val="18"/>
              </w:rPr>
              <w:t>Onde ficam as concorrências</w:t>
            </w:r>
          </w:p>
        </w:tc>
        <w:tc>
          <w:tcPr>
            <w:tcW w:type="dxa" w:w="3249"/>
          </w:tcPr>
          <w:p>
            <w:r/>
            <w:r>
              <w:rPr>
                <w:b w:val="0"/>
                <w:i w:val="0"/>
                <w:sz w:val="18"/>
              </w:rPr>
              <w:t>No navegador, num lugar comum às empresas de exemplo.</w:t>
            </w:r>
          </w:p>
        </w:tc>
        <w:tc>
          <w:tcPr>
            <w:tcW w:type="dxa" w:w="3249"/>
          </w:tcPr>
          <w:p>
            <w:r/>
            <w:r>
              <w:rPr>
                <w:b w:val="0"/>
                <w:i w:val="0"/>
                <w:sz w:val="18"/>
              </w:rPr>
              <w:t xml:space="preserve">No servidor, e cada empresa lê só o que pode ver — </w:t>
            </w:r>
            <w:r>
              <w:rPr>
                <w:b/>
                <w:i w:val="0"/>
                <w:sz w:val="18"/>
              </w:rPr>
              <w:t>já funciona</w:t>
            </w:r>
            <w:r>
              <w:rPr>
                <w:b w:val="0"/>
                <w:i w:val="0"/>
                <w:sz w:val="18"/>
              </w:rPr>
              <w:t xml:space="preserve"> na conta de verdade.</w:t>
            </w:r>
          </w:p>
        </w:tc>
      </w:tr>
      <w:tr>
        <w:tc>
          <w:tcPr>
            <w:tcW w:type="dxa" w:w="3249"/>
          </w:tcPr>
          <w:p>
            <w:r/>
            <w:r>
              <w:rPr>
                <w:b w:val="0"/>
                <w:i w:val="0"/>
                <w:sz w:val="18"/>
              </w:rPr>
              <w:t>Convites por e-mail</w:t>
            </w:r>
          </w:p>
        </w:tc>
        <w:tc>
          <w:tcPr>
            <w:tcW w:type="dxa" w:w="3249"/>
          </w:tcPr>
          <w:p>
            <w:r/>
            <w:r>
              <w:rPr>
                <w:b w:val="0"/>
                <w:i w:val="0"/>
                <w:sz w:val="18"/>
              </w:rPr>
              <w:t xml:space="preserve">Não são enviados. A contratante usa </w:t>
            </w:r>
            <w:r>
              <w:rPr>
                <w:b/>
                <w:i w:val="0"/>
                <w:sz w:val="18"/>
              </w:rPr>
              <w:t>Copiar o link</w:t>
            </w:r>
            <w:r>
              <w:rPr>
                <w:b w:val="0"/>
                <w:i w:val="0"/>
                <w:sz w:val="18"/>
              </w:rPr>
              <w:t xml:space="preserve"> para quem não tem conta.</w:t>
            </w:r>
          </w:p>
        </w:tc>
        <w:tc>
          <w:tcPr>
            <w:tcW w:type="dxa" w:w="3249"/>
          </w:tcPr>
          <w:p>
            <w:r/>
            <w:r>
              <w:rPr>
                <w:b w:val="0"/>
                <w:i w:val="0"/>
                <w:sz w:val="18"/>
              </w:rPr>
              <w:t xml:space="preserve">Enviados por e-mail, com o link pessoal (próxima etapa; o link em si </w:t>
            </w:r>
            <w:r>
              <w:rPr>
                <w:b/>
                <w:i w:val="0"/>
                <w:sz w:val="18"/>
              </w:rPr>
              <w:t>já funciona</w:t>
            </w:r>
            <w:r>
              <w:rPr>
                <w:b w:val="0"/>
                <w:i w:val="0"/>
                <w:sz w:val="18"/>
              </w:rPr>
              <w:t>).</w:t>
            </w:r>
          </w:p>
        </w:tc>
      </w:tr>
      <w:tr>
        <w:tc>
          <w:tcPr>
            <w:tcW w:type="dxa" w:w="3249"/>
          </w:tcPr>
          <w:p>
            <w:r/>
            <w:r>
              <w:rPr>
                <w:b w:val="0"/>
                <w:i w:val="0"/>
                <w:sz w:val="18"/>
              </w:rPr>
              <w:t>Desenhos</w:t>
            </w:r>
          </w:p>
        </w:tc>
        <w:tc>
          <w:tcPr>
            <w:tcW w:type="dxa" w:w="3249"/>
          </w:tcPr>
          <w:p>
            <w:r/>
            <w:r>
              <w:rPr>
                <w:b w:val="0"/>
                <w:i w:val="0"/>
                <w:sz w:val="18"/>
              </w:rPr>
              <w:t>Guarda só o nome dos PDFs; o projeto da convidada começa sem folhas.</w:t>
            </w:r>
          </w:p>
        </w:tc>
        <w:tc>
          <w:tcPr>
            <w:tcW w:type="dxa" w:w="3249"/>
          </w:tcPr>
          <w:p>
            <w:r/>
            <w:r>
              <w:rPr>
                <w:b w:val="0"/>
                <w:i w:val="0"/>
                <w:sz w:val="18"/>
              </w:rPr>
              <w:t xml:space="preserve">Os PDFs vão com o convite e viram as folhas do projeto da convidada — </w:t>
            </w:r>
            <w:r>
              <w:rPr>
                <w:b/>
                <w:i w:val="0"/>
                <w:sz w:val="18"/>
              </w:rPr>
              <w:t>já funciona</w:t>
            </w:r>
            <w:r>
              <w:rPr>
                <w:b w:val="0"/>
                <w:i w:val="0"/>
                <w:sz w:val="18"/>
              </w:rPr>
              <w:t>.</w:t>
            </w:r>
          </w:p>
        </w:tc>
      </w:tr>
      <w:tr>
        <w:tc>
          <w:tcPr>
            <w:tcW w:type="dxa" w:w="3249"/>
          </w:tcPr>
          <w:p>
            <w:r/>
            <w:r>
              <w:rPr>
                <w:b w:val="0"/>
                <w:i w:val="0"/>
                <w:sz w:val="18"/>
              </w:rPr>
              <w:t>PDF da proposta</w:t>
            </w:r>
          </w:p>
        </w:tc>
        <w:tc>
          <w:tcPr>
            <w:tcW w:type="dxa" w:w="3249"/>
          </w:tcPr>
          <w:p>
            <w:r/>
            <w:r>
              <w:rPr>
                <w:b w:val="0"/>
                <w:i w:val="0"/>
                <w:sz w:val="18"/>
              </w:rPr>
              <w:t>Guarda só o nome do arquivo.</w:t>
            </w:r>
          </w:p>
        </w:tc>
        <w:tc>
          <w:tcPr>
            <w:tcW w:type="dxa" w:w="3249"/>
          </w:tcPr>
          <w:p>
            <w:r/>
            <w:r>
              <w:rPr>
                <w:b w:val="0"/>
                <w:i w:val="0"/>
                <w:sz w:val="18"/>
              </w:rPr>
              <w:t xml:space="preserve">Guardado com a proposta — </w:t>
            </w:r>
            <w:r>
              <w:rPr>
                <w:b/>
                <w:i w:val="0"/>
                <w:sz w:val="18"/>
              </w:rPr>
              <w:t>já funciona</w:t>
            </w:r>
            <w:r>
              <w:rPr>
                <w:b w:val="0"/>
                <w:i w:val="0"/>
                <w:sz w:val="18"/>
              </w:rPr>
              <w:t>.</w:t>
            </w:r>
          </w:p>
        </w:tc>
      </w:tr>
      <w:tr>
        <w:tc>
          <w:tcPr>
            <w:tcW w:type="dxa" w:w="3249"/>
          </w:tcPr>
          <w:p>
            <w:r/>
            <w:r>
              <w:rPr>
                <w:b w:val="0"/>
                <w:i w:val="0"/>
                <w:sz w:val="18"/>
              </w:rPr>
              <w:t>Orçamento por etapa</w:t>
            </w:r>
          </w:p>
        </w:tc>
        <w:tc>
          <w:tcPr>
            <w:tcW w:type="dxa" w:w="3249"/>
          </w:tcPr>
          <w:p>
            <w:r/>
            <w:r>
              <w:rPr>
                <w:b w:val="0"/>
                <w:i w:val="0"/>
                <w:sz w:val="18"/>
              </w:rPr>
              <w:t>Existe no motor; o formulário pede só o total.</w:t>
            </w:r>
          </w:p>
        </w:tc>
        <w:tc>
          <w:tcPr>
            <w:tcW w:type="dxa" w:w="3249"/>
          </w:tcPr>
          <w:p>
            <w:r/>
            <w:r>
              <w:rPr>
                <w:b w:val="0"/>
                <w:i w:val="0"/>
                <w:sz w:val="18"/>
              </w:rPr>
              <w:t>Um campo de orçamento por etapa.</w:t>
            </w:r>
          </w:p>
        </w:tc>
      </w:tr>
      <w:tr>
        <w:tc>
          <w:tcPr>
            <w:tcW w:type="dxa" w:w="3249"/>
          </w:tcPr>
          <w:p>
            <w:r/>
            <w:r>
              <w:rPr>
                <w:b w:val="0"/>
                <w:i/>
                <w:sz w:val="18"/>
              </w:rPr>
              <w:t>Usar no meu orçamento</w:t>
            </w:r>
          </w:p>
        </w:tc>
        <w:tc>
          <w:tcPr>
            <w:tcW w:type="dxa" w:w="3249"/>
          </w:tcPr>
          <w:p>
            <w:r/>
            <w:r>
              <w:rPr>
                <w:b w:val="0"/>
                <w:i w:val="0"/>
                <w:sz w:val="18"/>
              </w:rPr>
              <w:t xml:space="preserve">O preço da quarteirizada entra na proposta como </w:t>
            </w:r>
            <w:r>
              <w:rPr>
                <w:b/>
                <w:i w:val="0"/>
                <w:sz w:val="18"/>
              </w:rPr>
              <w:t>outros itens</w:t>
            </w:r>
            <w:r>
              <w:rPr>
                <w:b w:val="0"/>
                <w:i w:val="0"/>
                <w:sz w:val="18"/>
              </w:rPr>
              <w:t>, com as suas margens.</w:t>
            </w:r>
          </w:p>
        </w:tc>
        <w:tc>
          <w:tcPr>
            <w:tcW w:type="dxa" w:w="3249"/>
          </w:tcPr>
          <w:p>
            <w:r/>
            <w:r>
              <w:rPr>
                <w:b w:val="0"/>
                <w:i w:val="0"/>
                <w:sz w:val="18"/>
              </w:rPr>
              <w:t>Uma linha de subempreiteiro no catálogo, por etapa.</w:t>
            </w:r>
          </w:p>
        </w:tc>
      </w:tr>
      <w:tr>
        <w:tc>
          <w:tcPr>
            <w:tcW w:type="dxa" w:w="3249"/>
          </w:tcPr>
          <w:p>
            <w:r/>
            <w:r>
              <w:rPr>
                <w:b w:val="0"/>
                <w:i w:val="0"/>
                <w:sz w:val="18"/>
              </w:rPr>
              <w:t>Anexos no canal</w:t>
            </w:r>
          </w:p>
        </w:tc>
        <w:tc>
          <w:tcPr>
            <w:tcW w:type="dxa" w:w="3249"/>
          </w:tcPr>
          <w:p>
            <w:r/>
            <w:r>
              <w:rPr>
                <w:b w:val="0"/>
                <w:i w:val="0"/>
                <w:sz w:val="18"/>
              </w:rPr>
              <w:t>Só texto.</w:t>
            </w:r>
          </w:p>
        </w:tc>
        <w:tc>
          <w:tcPr>
            <w:tcW w:type="dxa" w:w="3249"/>
          </w:tcPr>
          <w:p>
            <w:r/>
            <w:r>
              <w:rPr>
                <w:b w:val="0"/>
                <w:i w:val="0"/>
                <w:sz w:val="18"/>
              </w:rPr>
              <w:t>Fotos e PDFs.</w:t>
            </w:r>
          </w:p>
        </w:tc>
      </w:tr>
    </w:tbl>
    <w:p>
      <w:pPr>
        <w:pStyle w:val="Heading1"/>
      </w:pPr>
      <w:r>
        <w:rPr>
          <w:b w:val="0"/>
          <w:i w:val="0"/>
        </w:rPr>
        <w:t>O que vem depois</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Observações</w:t>
            </w:r>
          </w:p>
        </w:tc>
      </w:tr>
      <w:tr>
        <w:tc>
          <w:tcPr>
            <w:tcW w:type="dxa" w:w="4873"/>
          </w:tcPr>
          <w:p>
            <w:r/>
            <w:r>
              <w:rPr>
                <w:b w:val="0"/>
                <w:i w:val="0"/>
                <w:sz w:val="18"/>
              </w:rPr>
              <w:t>Convites e avisos por e-mail</w:t>
            </w:r>
          </w:p>
        </w:tc>
        <w:tc>
          <w:tcPr>
            <w:tcW w:type="dxa" w:w="4873"/>
          </w:tcPr>
          <w:p>
            <w:r/>
            <w:r>
              <w:rPr>
                <w:b w:val="0"/>
                <w:i w:val="0"/>
                <w:sz w:val="18"/>
              </w:rPr>
              <w:t>A próxima etapa do trabalho no banco de dados.</w:t>
            </w:r>
          </w:p>
        </w:tc>
      </w:tr>
      <w:tr>
        <w:tc>
          <w:tcPr>
            <w:tcW w:type="dxa" w:w="4873"/>
          </w:tcPr>
          <w:p>
            <w:r/>
            <w:r>
              <w:rPr>
                <w:b w:val="0"/>
                <w:i w:val="0"/>
                <w:sz w:val="18"/>
              </w:rPr>
              <w:t>Envelope fechado</w:t>
            </w:r>
          </w:p>
        </w:tc>
        <w:tc>
          <w:tcPr>
            <w:tcW w:type="dxa" w:w="4873"/>
          </w:tcPr>
          <w:p>
            <w:r/>
            <w:r>
              <w:rPr>
                <w:b w:val="0"/>
                <w:i w:val="0"/>
                <w:sz w:val="18"/>
              </w:rPr>
              <w:t>A contratante só vê os valores depois do prazo (comum em obra pública).</w:t>
            </w:r>
          </w:p>
        </w:tc>
      </w:tr>
      <w:tr>
        <w:tc>
          <w:tcPr>
            <w:tcW w:type="dxa" w:w="4873"/>
          </w:tcPr>
          <w:p>
            <w:r/>
            <w:r>
              <w:rPr>
                <w:b w:val="0"/>
                <w:i w:val="0"/>
                <w:sz w:val="18"/>
              </w:rPr>
              <w:t>Aditivo a partir do canal</w:t>
            </w:r>
          </w:p>
        </w:tc>
        <w:tc>
          <w:tcPr>
            <w:tcW w:type="dxa" w:w="4873"/>
          </w:tcPr>
          <w:p>
            <w:r/>
            <w:r>
              <w:rPr>
                <w:b w:val="0"/>
                <w:i w:val="0"/>
                <w:sz w:val="18"/>
              </w:rPr>
              <w:t>Uma mensagem vira um pedido de mudança formal (</w:t>
            </w:r>
            <w:r>
              <w:rPr>
                <w:b w:val="0"/>
                <w:i/>
                <w:sz w:val="18"/>
              </w:rPr>
              <w:t>change order</w:t>
            </w:r>
            <w:r>
              <w:rPr>
                <w:b w:val="0"/>
                <w:i w:val="0"/>
                <w:sz w:val="18"/>
              </w:rPr>
              <w:t>).</w:t>
            </w:r>
          </w:p>
        </w:tc>
      </w:tr>
      <w:tr>
        <w:tc>
          <w:tcPr>
            <w:tcW w:type="dxa" w:w="4873"/>
          </w:tcPr>
          <w:p>
            <w:r/>
            <w:r>
              <w:rPr>
                <w:b w:val="0"/>
                <w:i w:val="0"/>
                <w:sz w:val="18"/>
              </w:rPr>
              <w:t>Dividir o fechamento</w:t>
            </w:r>
          </w:p>
        </w:tc>
        <w:tc>
          <w:tcPr>
            <w:tcW w:type="dxa" w:w="4873"/>
          </w:tcPr>
          <w:p>
            <w:r/>
            <w:r>
              <w:rPr>
                <w:b w:val="0"/>
                <w:i w:val="0"/>
                <w:sz w:val="18"/>
              </w:rPr>
              <w:t>Fechar etapas diferentes com prestadoras diferentes.</w:t>
            </w:r>
          </w:p>
        </w:tc>
      </w:tr>
      <w:tr>
        <w:tc>
          <w:tcPr>
            <w:tcW w:type="dxa" w:w="4873"/>
          </w:tcPr>
          <w:p>
            <w:r/>
            <w:r>
              <w:rPr>
                <w:b w:val="0"/>
                <w:i w:val="0"/>
                <w:sz w:val="18"/>
              </w:rPr>
              <w:t>Convidar só pelo e-mail</w:t>
            </w:r>
          </w:p>
        </w:tc>
        <w:tc>
          <w:tcPr>
            <w:tcW w:type="dxa" w:w="4873"/>
          </w:tcPr>
          <w:p>
            <w:r/>
            <w:r>
              <w:rPr>
                <w:b w:val="0"/>
                <w:i w:val="0"/>
                <w:sz w:val="18"/>
              </w:rPr>
              <w:t>Convidar quem ainda não está nos Contatos.</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