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Prototype status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>What is simulated in the prototype today, and what comes next.</w:t>
      </w:r>
    </w:p>
    <w:p>
      <w:pPr>
        <w:pStyle w:val="Heading1"/>
      </w:pPr>
      <w:r>
        <w:rPr>
          <w:b w:val="0"/>
          <w:i w:val="0"/>
        </w:rPr>
        <w:t>Simulated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prototype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product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Where bids live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 the browser, in a place shared by the demo companies.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server, with each company reading only what it may see.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Invitations by email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Not sent. The contracting company uses </w:t>
            </w:r>
            <w:r>
              <w:rPr>
                <w:b/>
                <w:i w:val="0"/>
                <w:sz w:val="18"/>
              </w:rPr>
              <w:t>Copy the link</w:t>
            </w:r>
            <w:r>
              <w:rPr>
                <w:b w:val="0"/>
                <w:i w:val="0"/>
                <w:sz w:val="18"/>
              </w:rPr>
              <w:t xml:space="preserve"> for invitees without an account.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Sent by email, with the private link.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Drawings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Only the PDF file names are kept; the invited project starts without sheets.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PDFs go with the invitation and become the sheets of the invited company's project.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Bid 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Only the file name is kept.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Stored with the bid, downloadable by the contracting company.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Budget by cost code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Exists in the engine; the form takes only the total.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budget field per cost code.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Use in my estimate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The sub's price goes into the proposal as </w:t>
            </w:r>
            <w:r>
              <w:rPr>
                <w:b/>
                <w:i w:val="0"/>
                <w:sz w:val="18"/>
              </w:rPr>
              <w:t>other items</w:t>
            </w:r>
            <w:r>
              <w:rPr>
                <w:b w:val="0"/>
                <w:i w:val="0"/>
                <w:sz w:val="18"/>
              </w:rPr>
              <w:t>, with your markups.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subcontractor line in the catalog, by cost code.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Attachments in the channel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Text only.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Photos and PDFs.</w:t>
            </w:r>
          </w:p>
        </w:tc>
      </w:tr>
    </w:tbl>
    <w:p>
      <w:pPr>
        <w:pStyle w:val="Heading1"/>
      </w:pPr>
      <w:r>
        <w:rPr>
          <w:b w:val="0"/>
          <w:i w:val="0"/>
        </w:rPr>
        <w:t>Coming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Sealed bids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contracting company sees the amounts only after the due date (common in public work).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Change orders from the channel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message becomes a formal change order.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Splitting the award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Award different cost codes to different subcontractors.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Inviting by email only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Invite someone who is not in Contacts yet.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Account from the link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When the subcontractor creates its account with the invitation email, the invitation, messages and bids move to it.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