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Concorrências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O que é simulado no protótipo hoje, e o que vem depois.</w:t>
      </w:r>
    </w:p>
    <w:p>
      <w:pPr>
        <w:pStyle w:val="Heading1"/>
      </w:pPr>
      <w:r>
        <w:rPr>
          <w:b w:val="0"/>
          <w:i w:val="0"/>
        </w:rPr>
        <w:t>Simulado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as concorrências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 navegador, num lugar comum às empresas de exemplo.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 servidor, e cada empresa lê só o que pode ver.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Convites por e-mail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Não são enviados. A contratante usa </w:t>
            </w:r>
            <w:r>
              <w:rPr>
                <w:b/>
                <w:i w:val="0"/>
                <w:sz w:val="18"/>
              </w:rPr>
              <w:t>Copiar o link</w:t>
            </w:r>
            <w:r>
              <w:rPr>
                <w:b w:val="0"/>
                <w:i w:val="0"/>
                <w:sz w:val="18"/>
              </w:rPr>
              <w:t xml:space="preserve"> para quem não tem conta.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Enviados por e-mail, com o link pessoal.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Desenhos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Guarda só o nome dos PDFs; o projeto da convidada começa sem folhas.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PDFs vão com o convite e viram as folhas do projeto da convidada.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 da proposta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Guarda só o nome do arquivo.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Guardado com a proposta, para a contratante baixar.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Orçamento por etapa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Existe no motor; o formulário pede só o total.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campo de orçamento por etapa.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Usar no meu orçamento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preço da quarteirizada entra na proposta como </w:t>
            </w:r>
            <w:r>
              <w:rPr>
                <w:b/>
                <w:i w:val="0"/>
                <w:sz w:val="18"/>
              </w:rPr>
              <w:t>outros itens</w:t>
            </w:r>
            <w:r>
              <w:rPr>
                <w:b w:val="0"/>
                <w:i w:val="0"/>
                <w:sz w:val="18"/>
              </w:rPr>
              <w:t>, com as suas margens.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linha de subempreiteiro no catálogo, por etapa.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Anexos no canal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texto.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Fotos e PDFs.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Envelope fechado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contratante só vê os valores depois do prazo (comum em obra pública).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Aditivo a partir do canal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Uma mensagem vira um pedido de mudança formal (</w:t>
            </w:r>
            <w:r>
              <w:rPr>
                <w:b w:val="0"/>
                <w:i/>
                <w:sz w:val="18"/>
              </w:rPr>
              <w:t>change order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Dividir o fechamento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Fechar etapas diferentes com prestadoras diferentes.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Convidar só pelo e-mail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Convidar quem ainda não está nos Contatos.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Conta a partir do link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Quando a prestadora cria a conta com o e-mail do convite, o convite, as mensagens e as propostas passam para ela.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