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Configuração</w:t>
      </w:r>
      <w:r>
        <w:rPr>
          <w:szCs w:val="20"/>
        </w:rPr>
        <w:t xml:space="preserve"> cobre a configuração dos níveis de acesso da Garantia da Qualidade (Grupo Perfil).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quem é Nível 1, 2 ou 3 em todo o módulo: a regra mais sensível de acesso da GQ.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93"/>
        <w:gridCol w:w="2598"/>
        <w:gridCol w:w="6040"/>
      </w:tblGrid>
      <w:tr>
        <w:trPr>
          <w:tblHeader/>
          <w:cantSplit/>
        </w:trPr>
        <w:tc>
          <w:tcPr>
            <w:tcW w:w="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6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6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 (CT-GQ-112, 12/10/2026)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Configuração: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Configuração: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