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Principal</w:t>
      </w:r>
    </w:p>
    <w:p w14:paraId="3610B2C9" w14:textId="6ECC54FD">
      <w:pPr>
        <w:pStyle w:val="sistema"/>
        <w:spacing w:after="0" w:line="360" w:lineRule="auto"/>
      </w:pPr>
      <w:r>
        <w:rPr>
          <w:i w:val="0"/>
          <w:szCs w:val="36"/>
        </w:rPr>
        <w:t>Conta usuário: Anvisa</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24/10/2026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ANVISA: O QUE A NORMA EXIGE DESTA TELA</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A norma espera que cada pessoa tenha uma identidade própria e segura no sistema, que a lista de quem pode acessar exista e seja revista, e que cada concessão, alteração e retirada de acesso deixe registro com autor, data e motivo; a tela cumpre a parte de identidade única, validade e perfil, mas mostra a senha provisória ao administrador e não registra o reset de senha.</w:t>
      </w:r>
    </w:p>
    <w:p>
      <w:pPr>
        <w:keepNext/>
        <w:spacing w:before="120" w:after="0" w:line="360" w:lineRule="auto"/>
        <w:rPr>
          <w:b/>
          <w:bCs/>
          <w:szCs w:val="20"/>
        </w:rPr>
      </w:pPr>
      <w:r>
        <w:rPr>
          <w:b/>
          <w:bCs/>
          <w:szCs w:val="20"/>
        </w:rPr>
        <w:t xml:space="preserve">O que a norma exige e o que a tela faz</w:t>
      </w:r>
    </w:p>
    <w:p>
      <w:pPr>
        <w:spacing w:after="0" w:line="360" w:lineRule="auto"/>
        <w:rPr>
          <w:szCs w:val="20"/>
        </w:rPr>
      </w:pPr>
      <w:r>
        <w:rPr>
          <w:szCs w:val="20"/>
        </w:rPr>
        <w:t xml:space="preserve">Citações entre aspas são literais (RDC 658/2022 e Guia 33/2020). O que não está entre aspas é leitura da área, a validar com Assuntos Regulatórios e a Garantia da Qualidade.</w:t>
      </w:r>
    </w:p>
    <w:tbl>
      <w:tblPr>
        <w:tblStyle w:val="Tabelacomgrade"/>
        <w:tblW w:w="9631" w:type="dxa"/>
        <w:tblLayout w:type="fixed"/>
        <w:tblLook w:val="04A0" w:firstRow="1" w:lastRow="0" w:firstColumn="1" w:lastColumn="0" w:noHBand="0" w:noVBand="1"/>
      </w:tblPr>
      <w:tblGrid>
        <w:gridCol w:w="2624"/>
        <w:gridCol w:w="1287"/>
        <w:gridCol w:w="4460"/>
        <w:gridCol w:w="1260"/>
      </w:tblGrid>
      <w:tr>
        <w:trPr>
          <w:tblHeader/>
          <w:cantSplit/>
        </w:trPr>
        <w:tc>
          <w:tcPr>
            <w:tcW w:w="26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Exigência</w:t>
            </w:r>
          </w:p>
        </w:tc>
        <w:tc>
          <w:tcPr>
            <w:tcW w:w="12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Artigo</w:t>
            </w:r>
          </w:p>
        </w:tc>
        <w:tc>
          <w:tcPr>
            <w:tcW w:w="44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a tela faz hoje</w:t>
            </w:r>
          </w:p>
        </w:tc>
        <w:tc>
          <w:tcPr>
            <w:tcW w:w="1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2624" w:type="dxa"/>
          </w:tcPr>
          <w:p>
            <w:pPr>
              <w:widowControl/>
              <w:spacing w:after="0" w:line="276" w:lineRule="auto"/>
              <w:jc w:val="left"/>
              <w:rPr>
                <w:sz w:val="18"/>
                <w:szCs w:val="18"/>
              </w:rPr>
            </w:pPr>
            <w:r>
              <w:rPr>
                <w:sz w:val="18"/>
                <w:szCs w:val="20"/>
              </w:rPr>
              <w:t xml:space="preserve">"Segurança incluindo controle de acesso;"</w:t>
            </w:r>
          </w:p>
        </w:tc>
        <w:tc>
          <w:tcPr>
            <w:tcW w:w="1287" w:type="dxa"/>
          </w:tcPr>
          <w:p>
            <w:pPr>
              <w:widowControl/>
              <w:spacing w:after="0" w:line="276" w:lineRule="auto"/>
              <w:jc w:val="left"/>
              <w:rPr>
                <w:sz w:val="18"/>
                <w:szCs w:val="18"/>
              </w:rPr>
            </w:pPr>
            <w:r>
              <w:rPr>
                <w:sz w:val="18"/>
                <w:szCs w:val="20"/>
              </w:rPr>
              <w:t xml:space="preserve">Guia 33, 9.3.2.3</w:t>
            </w:r>
          </w:p>
        </w:tc>
        <w:tc>
          <w:tcPr>
            <w:tcW w:w="4460" w:type="dxa"/>
          </w:tcPr>
          <w:p>
            <w:pPr>
              <w:widowControl/>
              <w:spacing w:after="0" w:line="276" w:lineRule="auto"/>
              <w:jc w:val="left"/>
              <w:rPr>
                <w:sz w:val="18"/>
                <w:szCs w:val="18"/>
              </w:rPr>
            </w:pPr>
            <w:r>
              <w:rPr>
                <w:sz w:val="18"/>
                <w:szCs w:val="20"/>
              </w:rPr>
              <w:t xml:space="preserve">Login único (CT-PRI-042), perfil obrigatório (CT-PRI-043), validade de conta, bloqueio por tentativas e lista negada a quem não tem a função (CT-PRI-064, 06/10/2026). O formulário e o relatório não passam por verificação de entrada no código (usuario_conta_ed.aspx.cs:24); outras telas administrativas abrem pelo endereço (DV-PRI-025, Alta)</w:t>
            </w:r>
          </w:p>
        </w:tc>
        <w:tc>
          <w:tcPr>
            <w:tcW w:w="1260" w:type="dxa"/>
          </w:tcPr>
          <w:p>
            <w:pPr>
              <w:widowControl/>
              <w:spacing w:after="0" w:line="276" w:lineRule="auto"/>
              <w:jc w:val="left"/>
              <w:rPr>
                <w:sz w:val="18"/>
                <w:szCs w:val="18"/>
              </w:rPr>
            </w:pPr>
            <w:r>
              <w:rPr>
                <w:sz w:val="18"/>
                <w:szCs w:val="20"/>
              </w:rPr>
              <w:t xml:space="preserve">Atende em parte</w:t>
            </w:r>
          </w:p>
        </w:tc>
      </w:tr>
      <w:tr>
        <w:trPr>
          <w:cantSplit/>
        </w:trPr>
        <w:tc>
          <w:tcPr>
            <w:tcW w:w="2624" w:type="dxa"/>
          </w:tcPr>
          <w:p>
            <w:pPr>
              <w:widowControl/>
              <w:spacing w:after="0" w:line="276" w:lineRule="auto"/>
              <w:jc w:val="left"/>
              <w:rPr>
                <w:sz w:val="18"/>
                <w:szCs w:val="18"/>
              </w:rPr>
            </w:pPr>
            <w:r>
              <w:rPr>
                <w:sz w:val="18"/>
                <w:szCs w:val="20"/>
              </w:rPr>
              <w:t xml:space="preserve">"Avaliação de risco deve ser realizada, contudo, nas ferramentas com alto impacto potencial, tais como, gerenciamento de senha ou de segurança para se determinar se controles adicionais são apropriados."</w:t>
            </w:r>
          </w:p>
        </w:tc>
        <w:tc>
          <w:tcPr>
            <w:tcW w:w="1287" w:type="dxa"/>
          </w:tcPr>
          <w:p>
            <w:pPr>
              <w:widowControl/>
              <w:spacing w:after="0" w:line="276" w:lineRule="auto"/>
              <w:jc w:val="left"/>
              <w:rPr>
                <w:sz w:val="18"/>
                <w:szCs w:val="18"/>
              </w:rPr>
            </w:pPr>
            <w:r>
              <w:rPr>
                <w:sz w:val="18"/>
                <w:szCs w:val="20"/>
              </w:rPr>
              <w:t xml:space="preserve">Guia 33, 7.3.1</w:t>
            </w:r>
          </w:p>
        </w:tc>
        <w:tc>
          <w:tcPr>
            <w:tcW w:w="4460" w:type="dxa"/>
          </w:tcPr>
          <w:p>
            <w:pPr>
              <w:widowControl/>
              <w:spacing w:after="0" w:line="276" w:lineRule="auto"/>
              <w:jc w:val="left"/>
              <w:rPr>
                <w:sz w:val="18"/>
                <w:szCs w:val="18"/>
              </w:rPr>
            </w:pPr>
            <w:r>
              <w:rPr>
                <w:sz w:val="18"/>
                <w:szCs w:val="20"/>
              </w:rPr>
              <w:t xml:space="preserve">Leitura da área: o Guia trata gerenciamento de senha como item de alto impacto. A senha provisória é exibida ao administrador, tem 8 caracteres de padrão fixo e vem de um sorteio comum (DV-PRI-003, Alta; SEG-PRI-09; CT-PRI-040 e 038). A senha é cifrada de forma reversível (SEG-PRI-01)</w:t>
            </w:r>
          </w:p>
        </w:tc>
        <w:tc>
          <w:tcPr>
            <w:tcW w:w="1260" w:type="dxa"/>
          </w:tcPr>
          <w:p>
            <w:pPr>
              <w:widowControl/>
              <w:spacing w:after="0" w:line="276" w:lineRule="auto"/>
              <w:jc w:val="left"/>
              <w:rPr>
                <w:sz w:val="18"/>
                <w:szCs w:val="18"/>
              </w:rPr>
            </w:pPr>
            <w:r>
              <w:rPr>
                <w:sz w:val="18"/>
                <w:szCs w:val="20"/>
              </w:rPr>
              <w:t xml:space="preserve">Não atende</w:t>
            </w:r>
          </w:p>
        </w:tc>
      </w:tr>
      <w:tr>
        <w:trPr>
          <w:cantSplit/>
        </w:trPr>
        <w:tc>
          <w:tcPr>
            <w:tcW w:w="2624" w:type="dxa"/>
          </w:tcPr>
          <w:p>
            <w:pPr>
              <w:widowControl/>
              <w:spacing w:after="0" w:line="276" w:lineRule="auto"/>
              <w:jc w:val="left"/>
              <w:rPr>
                <w:sz w:val="18"/>
                <w:szCs w:val="18"/>
              </w:rPr>
            </w:pPr>
            <w:r>
              <w:rPr>
                <w:sz w:val="18"/>
                <w:szCs w:val="20"/>
              </w:rPr>
              <w:t xml:space="preserve">"Assegurar a existência de uma lista de pessoas autorizadas a acessar o sistema."</w:t>
            </w:r>
          </w:p>
        </w:tc>
        <w:tc>
          <w:tcPr>
            <w:tcW w:w="1287" w:type="dxa"/>
          </w:tcPr>
          <w:p>
            <w:pPr>
              <w:widowControl/>
              <w:spacing w:after="0" w:line="276" w:lineRule="auto"/>
              <w:jc w:val="left"/>
              <w:rPr>
                <w:sz w:val="18"/>
                <w:szCs w:val="18"/>
              </w:rPr>
            </w:pPr>
            <w:r>
              <w:rPr>
                <w:sz w:val="18"/>
                <w:szCs w:val="20"/>
              </w:rPr>
              <w:t xml:space="preserve">Guia 33, 11.12.2</w:t>
            </w:r>
          </w:p>
        </w:tc>
        <w:tc>
          <w:tcPr>
            <w:tcW w:w="4460" w:type="dxa"/>
          </w:tcPr>
          <w:p>
            <w:pPr>
              <w:widowControl/>
              <w:spacing w:after="0" w:line="276" w:lineRule="auto"/>
              <w:jc w:val="left"/>
              <w:rPr>
                <w:sz w:val="18"/>
                <w:szCs w:val="18"/>
              </w:rPr>
            </w:pPr>
            <w:r>
              <w:rPr>
                <w:sz w:val="18"/>
                <w:szCs w:val="20"/>
              </w:rPr>
              <w:t xml:space="preserve">A lista e o relatório de contas existem (nome, ativo, login, validades, prazo da senha e perfil), mas o relatório não traz as funções de cada perfil nem a data da última alteração (CT-PRI-054, 06/10/2026) e mistura quem tem e quem não tem conta (dalUsuario.cs:1429)</w:t>
            </w:r>
          </w:p>
        </w:tc>
        <w:tc>
          <w:tcPr>
            <w:tcW w:w="1260" w:type="dxa"/>
          </w:tcPr>
          <w:p>
            <w:pPr>
              <w:widowControl/>
              <w:spacing w:after="0" w:line="276" w:lineRule="auto"/>
              <w:jc w:val="left"/>
              <w:rPr>
                <w:sz w:val="18"/>
                <w:szCs w:val="18"/>
              </w:rPr>
            </w:pPr>
            <w:r>
              <w:rPr>
                <w:sz w:val="18"/>
                <w:szCs w:val="20"/>
              </w:rPr>
              <w:t xml:space="preserve">Atende em parte</w:t>
            </w:r>
          </w:p>
        </w:tc>
      </w:tr>
      <w:tr>
        <w:trPr>
          <w:cantSplit/>
        </w:trPr>
        <w:tc>
          <w:tcPr>
            <w:tcW w:w="2624" w:type="dxa"/>
          </w:tcPr>
          <w:p>
            <w:pPr>
              <w:widowControl/>
              <w:spacing w:after="0" w:line="276" w:lineRule="auto"/>
              <w:jc w:val="left"/>
              <w:rPr>
                <w:sz w:val="18"/>
                <w:szCs w:val="18"/>
              </w:rPr>
            </w:pPr>
            <w:r>
              <w:rPr>
                <w:sz w:val="18"/>
                <w:szCs w:val="20"/>
              </w:rPr>
              <w:t xml:space="preserve">"Execução periódica de monitoramento de segurança e testes, por exemplo, verificação manual do livro de acesso ao sistema, notificações automatizadas de bloqueios de acesso ao sistema, testes de tokens e assim por diante;"</w:t>
            </w:r>
          </w:p>
        </w:tc>
        <w:tc>
          <w:tcPr>
            <w:tcW w:w="1287" w:type="dxa"/>
          </w:tcPr>
          <w:p>
            <w:pPr>
              <w:widowControl/>
              <w:spacing w:after="0" w:line="276" w:lineRule="auto"/>
              <w:jc w:val="left"/>
              <w:rPr>
                <w:sz w:val="18"/>
                <w:szCs w:val="18"/>
              </w:rPr>
            </w:pPr>
            <w:r>
              <w:rPr>
                <w:sz w:val="18"/>
                <w:szCs w:val="20"/>
              </w:rPr>
              <w:t xml:space="preserve">Guia 33, 11.12.2</w:t>
            </w:r>
          </w:p>
        </w:tc>
        <w:tc>
          <w:tcPr>
            <w:tcW w:w="4460" w:type="dxa"/>
          </w:tcPr>
          <w:p>
            <w:pPr>
              <w:widowControl/>
              <w:spacing w:after="0" w:line="276" w:lineRule="auto"/>
              <w:jc w:val="left"/>
              <w:rPr>
                <w:sz w:val="18"/>
                <w:szCs w:val="18"/>
              </w:rPr>
            </w:pPr>
            <w:r>
              <w:rPr>
                <w:sz w:val="18"/>
                <w:szCs w:val="20"/>
              </w:rPr>
              <w:t xml:space="preserve">Nenhuma tela mostra os registros de acesso (livro de acesso) nem avisa de bloqueios (CT-PRI-012, bloqueado, depende do DBA, Alta)</w:t>
            </w:r>
          </w:p>
        </w:tc>
        <w:tc>
          <w:tcPr>
            <w:tcW w:w="1260" w:type="dxa"/>
          </w:tcPr>
          <w:p>
            <w:pPr>
              <w:widowControl/>
              <w:spacing w:after="0" w:line="276" w:lineRule="auto"/>
              <w:jc w:val="left"/>
              <w:rPr>
                <w:sz w:val="18"/>
                <w:szCs w:val="18"/>
              </w:rPr>
            </w:pPr>
            <w:r>
              <w:rPr>
                <w:sz w:val="18"/>
                <w:szCs w:val="20"/>
              </w:rPr>
              <w:t xml:space="preserve">A verificar</w:t>
            </w:r>
          </w:p>
        </w:tc>
      </w:tr>
      <w:tr>
        <w:trPr>
          <w:cantSplit/>
        </w:trPr>
        <w:tc>
          <w:tcPr>
            <w:tcW w:w="2624" w:type="dxa"/>
          </w:tcPr>
          <w:p>
            <w:pPr>
              <w:widowControl/>
              <w:spacing w:after="0" w:line="276" w:lineRule="auto"/>
              <w:jc w:val="left"/>
              <w:rPr>
                <w:sz w:val="18"/>
                <w:szCs w:val="18"/>
              </w:rPr>
            </w:pPr>
            <w:r>
              <w:rPr>
                <w:sz w:val="18"/>
                <w:szCs w:val="20"/>
              </w:rPr>
              <w:t xml:space="preserve">"Toda a alteração feita no registro de um documento deve ser assinada e datada, devendo permitir a leitura da informação original."</w:t>
            </w:r>
          </w:p>
        </w:tc>
        <w:tc>
          <w:tcPr>
            <w:tcW w:w="1287" w:type="dxa"/>
          </w:tcPr>
          <w:p>
            <w:pPr>
              <w:widowControl/>
              <w:spacing w:after="0" w:line="276" w:lineRule="auto"/>
              <w:jc w:val="left"/>
              <w:rPr>
                <w:sz w:val="18"/>
                <w:szCs w:val="18"/>
              </w:rPr>
            </w:pPr>
            <w:r>
              <w:rPr>
                <w:sz w:val="18"/>
                <w:szCs w:val="20"/>
              </w:rPr>
              <w:t xml:space="preserve">RDC 658, art. 125</w:t>
            </w:r>
          </w:p>
        </w:tc>
        <w:tc>
          <w:tcPr>
            <w:tcW w:w="4460" w:type="dxa"/>
          </w:tcPr>
          <w:p>
            <w:pPr>
              <w:widowControl/>
              <w:spacing w:after="0" w:line="276" w:lineRule="auto"/>
              <w:jc w:val="left"/>
              <w:rPr>
                <w:sz w:val="18"/>
                <w:szCs w:val="18"/>
              </w:rPr>
            </w:pPr>
            <w:r>
              <w:rPr>
                <w:sz w:val="18"/>
                <w:szCs w:val="20"/>
              </w:rPr>
              <w:t xml:space="preserve">Alterações da conta ficam no histórico campo a campo, com valor antigo, valor novo, usuário, data e hora (CT-PRI-046, 05/10/2026). Falhas: linha "VALIDADE INÍCIO" sem mudança (DV-PRI-005); reset e desbloqueio fora do histórico (DV-PRI-017); valores limitados a 255 caracteres (SEG-PRI-13)</w:t>
            </w:r>
          </w:p>
        </w:tc>
        <w:tc>
          <w:tcPr>
            <w:tcW w:w="1260" w:type="dxa"/>
          </w:tcPr>
          <w:p>
            <w:pPr>
              <w:widowControl/>
              <w:spacing w:after="0" w:line="276" w:lineRule="auto"/>
              <w:jc w:val="left"/>
              <w:rPr>
                <w:sz w:val="18"/>
                <w:szCs w:val="18"/>
              </w:rPr>
            </w:pPr>
            <w:r>
              <w:rPr>
                <w:sz w:val="18"/>
                <w:szCs w:val="20"/>
              </w:rPr>
              <w:t xml:space="preserve">Atende em parte</w:t>
            </w:r>
          </w:p>
        </w:tc>
      </w:tr>
      <w:tr>
        <w:trPr>
          <w:cantSplit/>
        </w:trPr>
        <w:tc>
          <w:tcPr>
            <w:tcW w:w="2624" w:type="dxa"/>
          </w:tcPr>
          <w:p>
            <w:pPr>
              <w:widowControl/>
              <w:spacing w:after="0" w:line="276" w:lineRule="auto"/>
              <w:jc w:val="left"/>
              <w:rPr>
                <w:sz w:val="18"/>
                <w:szCs w:val="18"/>
              </w:rPr>
            </w:pPr>
            <w:r>
              <w:rPr>
                <w:sz w:val="18"/>
                <w:szCs w:val="20"/>
              </w:rPr>
              <w:t xml:space="preserve">"Quando apropriado, o motivo da alteração deve ser registrado."</w:t>
            </w:r>
          </w:p>
        </w:tc>
        <w:tc>
          <w:tcPr>
            <w:tcW w:w="1287" w:type="dxa"/>
          </w:tcPr>
          <w:p>
            <w:pPr>
              <w:widowControl/>
              <w:spacing w:after="0" w:line="276" w:lineRule="auto"/>
              <w:jc w:val="left"/>
              <w:rPr>
                <w:sz w:val="18"/>
                <w:szCs w:val="18"/>
              </w:rPr>
            </w:pPr>
            <w:r>
              <w:rPr>
                <w:sz w:val="18"/>
                <w:szCs w:val="20"/>
              </w:rPr>
              <w:t xml:space="preserve">RDC 658, art. 125, parágrafo único</w:t>
            </w:r>
          </w:p>
        </w:tc>
        <w:tc>
          <w:tcPr>
            <w:tcW w:w="4460" w:type="dxa"/>
          </w:tcPr>
          <w:p>
            <w:pPr>
              <w:widowControl/>
              <w:spacing w:after="0" w:line="276" w:lineRule="auto"/>
              <w:jc w:val="left"/>
              <w:rPr>
                <w:sz w:val="18"/>
                <w:szCs w:val="18"/>
              </w:rPr>
            </w:pPr>
            <w:r>
              <w:rPr>
                <w:sz w:val="18"/>
                <w:szCs w:val="20"/>
              </w:rPr>
              <w:t xml:space="preserve">Alteração e exclusão da conta exigem justificativa no formulário e ela vai ao histórico (usuario_conta_ed.aspx.cs:323-330; dalLogAlteracaoUsuarioConta.cs:201-212). O reset de senha não pede motivo (DV-PRI-017, Média)</w:t>
            </w:r>
          </w:p>
        </w:tc>
        <w:tc>
          <w:tcPr>
            <w:tcW w:w="1260" w:type="dxa"/>
          </w:tcPr>
          <w:p>
            <w:pPr>
              <w:widowControl/>
              <w:spacing w:after="0" w:line="276" w:lineRule="auto"/>
              <w:jc w:val="left"/>
              <w:rPr>
                <w:sz w:val="18"/>
                <w:szCs w:val="18"/>
              </w:rPr>
            </w:pPr>
            <w:r>
              <w:rPr>
                <w:sz w:val="18"/>
                <w:szCs w:val="20"/>
              </w:rPr>
              <w:t xml:space="preserve">Atende em parte</w:t>
            </w:r>
          </w:p>
        </w:tc>
      </w:tr>
      <w:tr>
        <w:trPr>
          <w:cantSplit/>
        </w:trPr>
        <w:tc>
          <w:tcPr>
            <w:tcW w:w="2624" w:type="dxa"/>
          </w:tcPr>
          <w:p>
            <w:pPr>
              <w:widowControl/>
              <w:spacing w:after="0" w:line="276" w:lineRule="auto"/>
              <w:jc w:val="left"/>
              <w:rPr>
                <w:sz w:val="18"/>
                <w:szCs w:val="18"/>
              </w:rPr>
            </w:pPr>
            <w:r>
              <w:rPr>
                <w:sz w:val="18"/>
                <w:szCs w:val="20"/>
              </w:rPr>
              <w:t xml:space="preserve">"Os registros devem ser realizados ou completados sempre que uma ação for realizada e de modo a permitir que todas as atividades significativas relativas à fabricação de medicamentos sejam rastreáveis."</w:t>
            </w:r>
          </w:p>
        </w:tc>
        <w:tc>
          <w:tcPr>
            <w:tcW w:w="1287" w:type="dxa"/>
          </w:tcPr>
          <w:p>
            <w:pPr>
              <w:widowControl/>
              <w:spacing w:after="0" w:line="276" w:lineRule="auto"/>
              <w:jc w:val="left"/>
              <w:rPr>
                <w:sz w:val="18"/>
                <w:szCs w:val="18"/>
              </w:rPr>
            </w:pPr>
            <w:r>
              <w:rPr>
                <w:sz w:val="18"/>
                <w:szCs w:val="20"/>
              </w:rPr>
              <w:t xml:space="preserve">RDC 658, art. 124</w:t>
            </w:r>
          </w:p>
        </w:tc>
        <w:tc>
          <w:tcPr>
            <w:tcW w:w="4460" w:type="dxa"/>
          </w:tcPr>
          <w:p>
            <w:pPr>
              <w:widowControl/>
              <w:spacing w:after="0" w:line="276" w:lineRule="auto"/>
              <w:jc w:val="left"/>
              <w:rPr>
                <w:sz w:val="18"/>
                <w:szCs w:val="18"/>
              </w:rPr>
            </w:pPr>
            <w:r>
              <w:rPr>
                <w:sz w:val="18"/>
                <w:szCs w:val="20"/>
              </w:rPr>
              <w:t xml:space="preserve">Leitura da área: conceder, bloquear, redefinir senha e retirar acesso são atividades significativas. Inclusão, alteração e exclusão são gravadas; o reset de senha não (bllUsuario.cs:714-720). A concessão original do perfil perde data e autor quando a conta é alterada (dalUsuario.cs:1629-1642)</w:t>
            </w:r>
          </w:p>
        </w:tc>
        <w:tc>
          <w:tcPr>
            <w:tcW w:w="1260" w:type="dxa"/>
          </w:tcPr>
          <w:p>
            <w:pPr>
              <w:widowControl/>
              <w:spacing w:after="0" w:line="276" w:lineRule="auto"/>
              <w:jc w:val="left"/>
              <w:rPr>
                <w:sz w:val="18"/>
                <w:szCs w:val="18"/>
              </w:rPr>
            </w:pPr>
            <w:r>
              <w:rPr>
                <w:sz w:val="18"/>
                <w:szCs w:val="20"/>
              </w:rPr>
              <w:t xml:space="preserve">Atende em parte</w:t>
            </w:r>
          </w:p>
        </w:tc>
      </w:tr>
      <w:tr>
        <w:trPr>
          <w:cantSplit/>
        </w:trPr>
        <w:tc>
          <w:tcPr>
            <w:tcW w:w="2624" w:type="dxa"/>
          </w:tcPr>
          <w:p>
            <w:pPr>
              <w:widowControl/>
              <w:spacing w:after="0" w:line="276" w:lineRule="auto"/>
              <w:jc w:val="left"/>
              <w:rPr>
                <w:sz w:val="18"/>
                <w:szCs w:val="18"/>
              </w:rPr>
            </w:pPr>
            <w:r>
              <w:rPr>
                <w:sz w:val="18"/>
                <w:szCs w:val="20"/>
              </w:rPr>
              <w:t xml:space="preserve">"Durante todo o período de retenção, devem existir controles apropriados para garantir a integridade do registro."</w:t>
            </w:r>
          </w:p>
        </w:tc>
        <w:tc>
          <w:tcPr>
            <w:tcW w:w="1287" w:type="dxa"/>
          </w:tcPr>
          <w:p>
            <w:pPr>
              <w:widowControl/>
              <w:spacing w:after="0" w:line="276" w:lineRule="auto"/>
              <w:jc w:val="left"/>
              <w:rPr>
                <w:sz w:val="18"/>
                <w:szCs w:val="18"/>
              </w:rPr>
            </w:pPr>
            <w:r>
              <w:rPr>
                <w:sz w:val="18"/>
                <w:szCs w:val="20"/>
              </w:rPr>
              <w:t xml:space="preserve">RDC 658, art. 117, § 6º</w:t>
            </w:r>
          </w:p>
        </w:tc>
        <w:tc>
          <w:tcPr>
            <w:tcW w:w="4460" w:type="dxa"/>
          </w:tcPr>
          <w:p>
            <w:pPr>
              <w:widowControl/>
              <w:spacing w:after="0" w:line="276" w:lineRule="auto"/>
              <w:jc w:val="left"/>
              <w:rPr>
                <w:sz w:val="18"/>
                <w:szCs w:val="18"/>
              </w:rPr>
            </w:pPr>
            <w:r>
              <w:rPr>
                <w:sz w:val="18"/>
                <w:szCs w:val="20"/>
              </w:rPr>
              <w:t xml:space="preserve">O histórico é gravado pela aplicação e não por gatilho do banco; quem pode alterar ou apagar as tabelas de histórico e de acesso depende do DBA (SEG-PRI-14; CT-PRI-083 e 084, não executados)</w:t>
            </w:r>
          </w:p>
        </w:tc>
        <w:tc>
          <w:tcPr>
            <w:tcW w:w="1260" w:type="dxa"/>
          </w:tcPr>
          <w:p>
            <w:pPr>
              <w:widowControl/>
              <w:spacing w:after="0" w:line="276" w:lineRule="auto"/>
              <w:jc w:val="left"/>
              <w:rPr>
                <w:sz w:val="18"/>
                <w:szCs w:val="18"/>
              </w:rPr>
            </w:pPr>
            <w:r>
              <w:rPr>
                <w:sz w:val="18"/>
                <w:szCs w:val="20"/>
              </w:rPr>
              <w:t xml:space="preserve">A verificar</w:t>
            </w:r>
          </w:p>
        </w:tc>
      </w:tr>
      <w:tr>
        <w:trPr>
          <w:cantSplit/>
        </w:trPr>
        <w:tc>
          <w:tcPr>
            <w:tcW w:w="2624" w:type="dxa"/>
          </w:tcPr>
          <w:p>
            <w:pPr>
              <w:widowControl/>
              <w:spacing w:after="0" w:line="276" w:lineRule="auto"/>
              <w:jc w:val="left"/>
              <w:rPr>
                <w:sz w:val="18"/>
                <w:szCs w:val="18"/>
              </w:rPr>
            </w:pPr>
            <w:r>
              <w:rPr>
                <w:sz w:val="18"/>
                <w:szCs w:val="20"/>
              </w:rPr>
              <w:t xml:space="preserve">"A responsabilidade pela segurança do sistema, incluindo controle de acesso, deve ser acordada entre o dono do processo e o dono do sistema."</w:t>
            </w:r>
          </w:p>
        </w:tc>
        <w:tc>
          <w:tcPr>
            <w:tcW w:w="1287" w:type="dxa"/>
          </w:tcPr>
          <w:p>
            <w:pPr>
              <w:widowControl/>
              <w:spacing w:after="0" w:line="276" w:lineRule="auto"/>
              <w:jc w:val="left"/>
              <w:rPr>
                <w:sz w:val="18"/>
                <w:szCs w:val="18"/>
              </w:rPr>
            </w:pPr>
            <w:r>
              <w:rPr>
                <w:sz w:val="18"/>
                <w:szCs w:val="20"/>
              </w:rPr>
              <w:t xml:space="preserve">Guia 33, 11.12.3</w:t>
            </w:r>
          </w:p>
        </w:tc>
        <w:tc>
          <w:tcPr>
            <w:tcW w:w="4460" w:type="dxa"/>
          </w:tcPr>
          <w:p>
            <w:pPr>
              <w:widowControl/>
              <w:spacing w:after="0" w:line="276" w:lineRule="auto"/>
              <w:jc w:val="left"/>
              <w:rPr>
                <w:sz w:val="18"/>
                <w:szCs w:val="18"/>
              </w:rPr>
            </w:pPr>
            <w:r>
              <w:rPr>
                <w:sz w:val="18"/>
                <w:szCs w:val="20"/>
              </w:rPr>
              <w:t xml:space="preserve">Procedimento fora do sistema: quem aprova a criação de contas e de quanto em quanto tempo os acessos são revistos não está no código</w:t>
            </w:r>
          </w:p>
        </w:tc>
        <w:tc>
          <w:tcPr>
            <w:tcW w:w="1260" w:type="dxa"/>
          </w:tcPr>
          <w:p>
            <w:pPr>
              <w:widowControl/>
              <w:spacing w:after="0" w:line="276" w:lineRule="auto"/>
              <w:jc w:val="left"/>
              <w:rPr>
                <w:sz w:val="18"/>
                <w:szCs w:val="18"/>
              </w:rPr>
            </w:pPr>
            <w:r>
              <w:rPr>
                <w:sz w:val="18"/>
                <w:szCs w:val="20"/>
              </w:rPr>
              <w:t xml:space="preserve">A verificar</w:t>
            </w:r>
          </w:p>
        </w:tc>
      </w:tr>
    </w:tbl>
    <w:p>
      <w:pPr>
        <w:spacing w:after="0" w:line="360" w:lineRule="auto"/>
      </w:pPr>
    </w:p>
    <w:p>
      <w:pPr>
        <w:keepNext/>
        <w:spacing w:before="120" w:after="0" w:line="360" w:lineRule="auto"/>
        <w:rPr>
          <w:b/>
          <w:bCs/>
          <w:szCs w:val="20"/>
        </w:rPr>
      </w:pPr>
      <w:r>
        <w:rPr>
          <w:b/>
          <w:bCs/>
          <w:szCs w:val="20"/>
        </w:rPr>
        <w:t xml:space="preserve">Guia 33/2020 (testes de operação)</w:t>
      </w:r>
    </w:p>
    <w:p>
      <w:pPr>
        <w:numPr>
          <w:ilvl w:val="0"/>
          <w:numId w:val="2"/>
        </w:numPr>
        <w:spacing w:after="0" w:line="360" w:lineRule="auto"/>
        <w:rPr>
          <w:szCs w:val="20"/>
        </w:rPr>
      </w:pPr>
      <w:r>
        <w:rPr>
          <w:szCs w:val="20"/>
        </w:rPr>
        <w:t xml:space="preserve">Item 9.7.7.1.2 (testes de operação do sistema): "Trilhas de auditoria e registro de ações críticas, incluídas interações manuais;". A conta tem trilha para inclusão, alteração e exclusão; não para o reset (DV-PRI-017). Situação: Atende em parte.</w:t>
      </w:r>
    </w:p>
    <w:p>
      <w:pPr>
        <w:numPr>
          <w:ilvl w:val="0"/>
          <w:numId w:val="2"/>
        </w:numPr>
        <w:spacing w:after="0" w:line="360" w:lineRule="auto"/>
        <w:rPr>
          <w:szCs w:val="20"/>
        </w:rPr>
      </w:pPr>
      <w:r>
        <w:rPr>
          <w:szCs w:val="20"/>
        </w:rPr>
        <w:t xml:space="preserve">Item 9.7.7.1.2: "Acesso ao sistema e recursos de sistema;". O teste de acesso por endereço foi feito só na lista da conta; no formulário e no relatório, não. Situação: A verificar.</w:t>
      </w:r>
    </w:p>
    <w:p>
      <w:pPr>
        <w:keepNext/>
        <w:spacing w:before="120" w:after="0" w:line="360" w:lineRule="auto"/>
        <w:rPr>
          <w:b/>
          <w:bCs/>
          <w:szCs w:val="20"/>
        </w:rPr>
      </w:pPr>
      <w:r>
        <w:rPr>
          <w:b/>
          <w:bCs/>
          <w:szCs w:val="20"/>
        </w:rPr>
        <w:t xml:space="preserve">O que um inspetor perguntaria nesta etapa</w:t>
      </w:r>
    </w:p>
    <w:p>
      <w:pPr>
        <w:spacing w:after="0" w:line="360" w:lineRule="auto"/>
        <w:rPr>
          <w:szCs w:val="20"/>
        </w:rPr>
      </w:pPr>
      <w:r>
        <w:rPr>
          <w:szCs w:val="20"/>
        </w:rPr>
        <w:t xml:space="preserve">Inferência da análise, a validar com Assuntos Regulatórios.</w:t>
      </w:r>
    </w:p>
    <w:p>
      <w:pPr>
        <w:spacing w:after="0" w:line="360" w:lineRule="auto"/>
        <w:rPr>
          <w:szCs w:val="20"/>
        </w:rPr>
      </w:pPr>
      <w:r>
        <w:rPr>
          <w:szCs w:val="20"/>
        </w:rPr>
        <w:t xml:space="preserve">1. Mostre quem tem acesso ao sistema hoje, com os perfis de cada um. O sistema mostra isso? Em parte: lista e relatório de contas, sem as funções (CT-PRI-054). 2. Quem criou esta conta e quando? O sistema mostra? Sim, no histórico: "INCLUSÃO DA CONTA" com usuário, data e hora (CT-PRI-040). 3. Como o sistema garante que só o dono da conta conhece a senha? Não garante: o administrador a vê ao criar a conta e ao redefinir (DV-PRI-003). 4. Esta conta foi desbloqueada? Por quem e por quê? O sistema mostra? Não: o reset não entra no histórico (DV-PRI-017). 5. A conta de quem saiu da empresa foi excluída ou inativada? Quando e por quem? Em parte: a inativação e a alteração têm histórico com justificativa; a exclusão da conta não aparece na tela de histórico (leitura do código). 6. Quem revisou os acessos nos últimos 12 meses? Não há tela nem relatório de revisão de acessos com data da última alteração (CT-PRI-054).</w:t>
      </w:r>
    </w:p>
    <w:p>
      <w:pPr>
        <w:keepNext/>
        <w:spacing w:before="120" w:after="0" w:line="360" w:lineRule="auto"/>
        <w:rPr>
          <w:b/>
          <w:bCs/>
          <w:szCs w:val="20"/>
        </w:rPr>
      </w:pPr>
      <w:r>
        <w:rPr>
          <w:b/>
          <w:bCs/>
          <w:szCs w:val="20"/>
        </w:rPr>
        <w:t xml:space="preserve">Lacunas para a versão corrigida</w:t>
      </w:r>
    </w:p>
    <w:p>
      <w:pPr>
        <w:numPr>
          <w:ilvl w:val="0"/>
          <w:numId w:val="2"/>
        </w:numPr>
        <w:spacing w:after="0" w:line="360" w:lineRule="auto"/>
        <w:rPr>
          <w:szCs w:val="20"/>
        </w:rPr>
      </w:pPr>
      <w:r>
        <w:rPr>
          <w:szCs w:val="20"/>
        </w:rPr>
        <w:t xml:space="preserve">Não mostrar a senha ao administrador: link de uso único ou envio ao usuário, com gerador seguro (RF-PRI-013; DV-PRI-003).</w:t>
      </w:r>
    </w:p>
    <w:p>
      <w:pPr>
        <w:numPr>
          <w:ilvl w:val="0"/>
          <w:numId w:val="2"/>
        </w:numPr>
        <w:spacing w:after="0" w:line="360" w:lineRule="auto"/>
        <w:rPr>
          <w:szCs w:val="20"/>
        </w:rPr>
      </w:pPr>
      <w:r>
        <w:rPr>
          <w:szCs w:val="20"/>
        </w:rPr>
        <w:t xml:space="preserve">Registrar reset, desbloqueio e exclusão da conta no histórico, com quem, quando e por quê, e manter o histórico consultável depois da exclusão (RF-PRI-005, RF-PRI-042 e RF-PRI-044; DV-PRI-017 e DV-PRI-014).</w:t>
      </w:r>
    </w:p>
    <w:p>
      <w:pPr>
        <w:numPr>
          <w:ilvl w:val="0"/>
          <w:numId w:val="2"/>
        </w:numPr>
        <w:spacing w:after="0" w:line="360" w:lineRule="auto"/>
        <w:rPr>
          <w:szCs w:val="20"/>
        </w:rPr>
      </w:pPr>
      <w:r>
        <w:rPr>
          <w:szCs w:val="20"/>
        </w:rPr>
        <w:t xml:space="preserve">Verificar a permissão em toda página, inclusive formulário e relatório (RF-PRI-032; DV-PRI-025).</w:t>
      </w:r>
    </w:p>
    <w:p>
      <w:pPr>
        <w:numPr>
          <w:ilvl w:val="0"/>
          <w:numId w:val="2"/>
        </w:numPr>
        <w:spacing w:after="0" w:line="360" w:lineRule="auto"/>
        <w:rPr>
          <w:szCs w:val="20"/>
        </w:rPr>
      </w:pPr>
      <w:r>
        <w:rPr>
          <w:szCs w:val="20"/>
        </w:rPr>
        <w:t xml:space="preserve">Relatório de revisão de acessos com perfis, funções e data da última alteração (RF-PRI-036).</w:t>
      </w:r>
    </w:p>
    <w:p>
      <w:pPr>
        <w:numPr>
          <w:ilvl w:val="0"/>
          <w:numId w:val="2"/>
        </w:numPr>
        <w:spacing w:after="0" w:line="360" w:lineRule="auto"/>
        <w:rPr>
          <w:szCs w:val="20"/>
        </w:rPr>
      </w:pPr>
      <w:r>
        <w:rPr>
          <w:szCs w:val="20"/>
        </w:rPr>
        <w:t xml:space="preserve">Guardar quem concedeu cada perfil e quando, sem apagar a concessão original a cada alteração (RN-PRI-ADM02-007).</w:t>
      </w:r>
    </w:p>
    <w:p>
      <w:pPr>
        <w:numPr>
          <w:ilvl w:val="0"/>
          <w:numId w:val="2"/>
        </w:numPr>
        <w:spacing w:after="0" w:line="360" w:lineRule="auto"/>
        <w:rPr>
          <w:szCs w:val="20"/>
        </w:rPr>
      </w:pPr>
      <w:r>
        <w:rPr>
          <w:szCs w:val="20"/>
        </w:rPr>
        <w:t xml:space="preserve">Definir a regra do login (maiúsculas, caracteres permitidos) e informar o usuário (RF-PRI-075; DV-PRI-002).</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Principal – Conta usuário: Anvisa</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Principal – Conta usuário: Anvisa</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