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Grupo de usuários: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norma espera que o acesso ao sistema seja controlado e que cada alteração dos registros deixe autor, data e motivo; a tela guarda o histórico de inclusão e de alteração com justificativa, mas pelo código descarta o motivo da exclusão e o formulário abre pelo endereço para quem não tem permissão.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entre aspas são literais (RDC 658/2022 e Guia 33/2020). O que não está entre aspas é leitura da área, a validar com Assuntos Regulatórios e a Garantia da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71"/>
        <w:gridCol w:w="1296"/>
        <w:gridCol w:w="4306"/>
        <w:gridCol w:w="1258"/>
      </w:tblGrid>
      <w:tr>
        <w:trPr>
          <w:tblHeader/>
          <w:cantSplit/>
        </w:trPr>
        <w:tc>
          <w:tcPr>
            <w:tcW w:w="2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"Segurança incluindo controle de acesso;"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foi negada a quem não tem a função, mas o formulário </w:t>
            </w:r>
            <w:r>
              <w:rPr>
                <w:sz w:val="18"/>
                <w:szCs w:val="20"/>
              </w:rPr>
              <w:t xml:space="preserve">grupo_usuario_ed</w:t>
            </w:r>
            <w:r>
              <w:rPr>
                <w:sz w:val="18"/>
                <w:szCs w:val="20"/>
              </w:rPr>
              <w:t xml:space="preserve"> abriu pelo endereço para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(CT-PRI-067, 06/10/2026; DV-PRI-025, Alta). Não se testou se grava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</w:t>
            </w:r>
          </w:p>
        </w:tc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código, a inclusão e a alteração (ativo, descrição, código) ficam no histórico com valor antigo, valor novo, usuário, data e hora (dalLogAlteracaoGrupoUsuario.cs:13-70). A exclusão grava o evento sem valores e o grupo excluído some da lista junto com o ícone de histórico. Nenhuma gravação foi testada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125, parágrafo único</w:t>
            </w:r>
          </w:p>
        </w:tc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grava a justificativa no histórico e no registro. A exclusão exige a justificativa na tela, mas ela não é gravada (dalLogAlteracaoGrupoUsuario.cs:77-88; dalGrupoUsuario.cs:97). Leitura do código, a confirmar no teste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"Trilhas de auditoria e registro de ações críticas, incluídas interações manuais;"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</w:t>
            </w:r>
          </w:p>
        </w:tc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trilha para inclusão, alteração e exclusão, sem o motivo da exclusão e sem consulta depois da exclusão (leitura do código; DV-PRI-014 na mesma família)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pessoas que ocupam cargos de responsabilidade devem ter as suas funções específicas registradas em descrições de cargo e a autoridade adequada para execução das suas responsabilidades."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30</w:t>
            </w:r>
          </w:p>
        </w:tc>
        <w:tc>
          <w:tcPr>
            <w:tcW w:w="4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da área: o grupo organiza as pessoas por área e, no Estoque, limita o que cada uma pode ver. O desenho dos grupos reais (áreas e responsáveis) não está no código</w:t>
            </w:r>
          </w:p>
        </w:tc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Como o sistema limita o que cada área vê no estoque? Pelo grupo do usuário; a configuração real depende dos dados do Estoque. 2. Quem excluiu este grupo e por quê? O sistema mostra? Quem e quando ficam gravados; o motivo não (pelo código). 3. A mudança de um grupo de uma pessoa foi registrada? Na tela Profissional (fora desta tela).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justificativa da exclusão no histórico e manter o histórico consultável depois da exclusão (RN-PRI-070; RF-PRI-044; DV-PRI-014).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a permissão em toda página, inclusive o formulário e o relatório (RF-PRI-032; DV-PRI-025).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unicidade de código na inclusão e deixar claro se o código pode mudar (RN-PRI-ADM06-004 e 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só cadastro de grupo para todos os módulos (RNF-PRI-025; documento transversal de telas repetidas).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Parâmetros nas consultas e limites de tamanho na tela (RNF-PRI-002).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Grupo de usuários: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Grupo de usuários: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