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Configurar notificação: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</w:t>
      </w:r>
      <w:r>
        <w:rPr>
          <w:b/>
          <w:bCs/>
          <w:szCs w:val="20"/>
        </w:rPr>
        <w:t xml:space="preserve">Nenhuma regra desta tela foi exercitada por teste</w:t>
      </w:r>
      <w:r>
        <w:rPr>
          <w:szCs w:val="20"/>
        </w:rPr>
        <w:t xml:space="preserve">; a situação é "Extraída" para todas.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20"/>
        <w:gridCol w:w="2371"/>
        <w:gridCol w:w="3570"/>
        <w:gridCol w:w="1670"/>
      </w:tblGrid>
      <w:tr>
        <w:trPr>
          <w:tblHeader/>
          <w:cantSplit/>
        </w:trPr>
        <w:tc>
          <w:tcPr>
            <w:tcW w:w="20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RN-PRI-055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alterações ficam no histórico campo a campo, com valor antigo, valor novo, usuário, data, hora e justificativa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gst_configurar_notificacao_ed.aspx.cs:220-343 (nenhuma chamada de histórico)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código: nenhuma gravação escreve histórico (não testada)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alteração de cadastro exige justificativa, guardada no histórico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gst_configurar_notificacao_ed.aspx:102-120 (bloco da justificativa comentado)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 (não testada)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RN-PRI-077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tela verifica a permissão do usuário, inclusive quando aberta pelo endereço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gst_configurar_notificacao_ed.aspx.cs:22-35; ClassePaiEd.cs:71-96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código não chama a verificação; nenhum caso de acesso incluiu esta tela)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RN-PRI-ADM09-001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configura um tipo de evento de um módulo: título, mensagem, destinatários (usuários, funções e setores), e-mail e segundo nível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gst_configurar_notificacao_ed.aspx.cs:38-113 e 220-343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RN-PRI-ADM09-002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trabalha com um tipo de evento escolhido na lista de tipos; módulo e tipo não são editáveis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gst_configurar_notificacao_ed.aspx.cs:27-28 e 51-53; gst_tipo_notificacao_lst.aspx.cs:167-169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RN-PRI-ADM09-003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cria a configuração do tipo se ela ainda não existir (título do tipo, ativa, sem e-mail)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gst_configurar_notificacao_ed.aspx.cs:55-72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 e testar com o DBA)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RN-PRI-ADM09-004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título e a mensagem são obrigatórios; o servidor confere os dois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gst_configurar_notificacao_ed.aspx.cs:237-238 e 252-253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RN-PRI-ADM09-005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"Adicionar nível", o prazo limite (dias) é obrigatório e é criado um segundo evento com seus destinatários, ligado ao primeiro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gst_configurar_notificacao_ed.aspx.cs:278-326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RN-PRI-ADM09-006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gravar, as listas de usuários, funções e setores do evento são apagadas e gravadas de novo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gst_configurar_notificacao_ed.aspx.cs:345-421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RN-PRI-ADM09-007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 e funções são encontrados de novo pelo nome ao gravar (a primeira pessoa com o nome); o setor é comparado em maiúsculas contra o texto da lista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gst_configurar_notificacao_ed.aspx.cs:372-421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validar: homônimos e setores com minúsculas)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RN-PRI-ADM09-008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é guardada como o HTML do editor, em bytes, sem tratamento de scripts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gst_configurar_notificacao_ed.aspx.cs:279 e 444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RN-PRI-ADM09-009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gravação com "Notificar por Email" marcado acrescenta uma linha de e-mail; a anterior não é apagada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gst_configurar_notificacao_ed.aspx.cs:424-447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RN-PRI-ADM09-010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do evento principal grava a data da alteração e não o usuário; o evento do segundo nível grava o usuário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gst_configurar_notificacao_ed.aspx.cs:274-281 e 299-308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RN-PRI-ADM09-011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módulos oferecidos são Principal, Controle de Documentos e Garantia da Qualidade (lista fixa no código)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gst_configurar_notificacao_ed.aspx.cs:452-464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RN-PRI-ADM09-012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usa o código de função 518, o mesmo da tela Grupo de usuários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gst_configurar_notificacao_ed.aspx.cs:24; grupo_usuario_ed.aspx.cs:20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validar)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RN-PRI-ADM09-013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campos disponíveis para a mensagem vêm de uma lista geral e de uma lista por tipo de evento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gst_configurar_notificacao_ed.aspx.cs:701-752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RN-PRI-ADM09-014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SALVAR não aciona os validadores da tela (a conferência é do servidor)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gst_configurar_notificacao_ed.aspx:526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; ele deixa as notificações por e-mail fora do escopo (seção 2).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do plano nem das rodadas de 05/10/2026 (rodada 1) e de 05 e 06/10/2026 (rodada 2) abriu ou gravou esta tela. O CT-PRI-069 (06/10/2026) negou o acesso de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às telas </w:t>
      </w:r>
      <w:r>
        <w:rPr>
          <w:szCs w:val="20"/>
        </w:rPr>
        <w:t xml:space="preserve">gst_tipo_notificacao_lst</w:t>
      </w:r>
      <w:r>
        <w:rPr>
          <w:szCs w:val="20"/>
        </w:rPr>
        <w:t xml:space="preserve">, </w:t>
      </w:r>
      <w:r>
        <w:rPr>
          <w:szCs w:val="20"/>
        </w:rPr>
        <w:t xml:space="preserve">gst_notificacao_usuario_lst</w:t>
      </w:r>
      <w:r>
        <w:rPr>
          <w:szCs w:val="20"/>
        </w:rPr>
        <w:t xml:space="preserve"> e </w:t>
      </w:r>
      <w:r>
        <w:rPr>
          <w:szCs w:val="20"/>
        </w:rPr>
        <w:t xml:space="preserve">notificacao_padrao_lst</w:t>
      </w:r>
      <w:r>
        <w:rPr>
          <w:szCs w:val="20"/>
        </w:rPr>
        <w:t xml:space="preserve">, mas </w:t>
      </w:r>
      <w:r>
        <w:rPr>
          <w:b/>
          <w:bCs/>
          <w:szCs w:val="20"/>
        </w:rPr>
        <w:t xml:space="preserve">não incluiu</w:t>
      </w:r>
      <w:r>
        <w:rPr>
          <w:szCs w:val="20"/>
        </w:rPr>
        <w:t xml:space="preserve"> </w:t>
      </w:r>
      <w:r>
        <w:rPr>
          <w:szCs w:val="20"/>
        </w:rPr>
        <w:t xml:space="preserve">gst_configurar_notificacao_ed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usar usuários </w:t>
      </w:r>
      <w:r>
        <w:rPr>
          <w:szCs w:val="20"/>
        </w:rPr>
        <w:t xml:space="preserve">t.*</w:t>
      </w:r>
      <w:r>
        <w:rPr>
          <w:szCs w:val="20"/>
        </w:rPr>
        <w:t xml:space="preserve"> e funções </w:t>
      </w:r>
      <w:r>
        <w:rPr>
          <w:szCs w:val="20"/>
        </w:rPr>
        <w:t xml:space="preserve">TESTE ...</w:t>
      </w:r>
      <w:r>
        <w:rPr>
          <w:szCs w:val="20"/>
        </w:rPr>
        <w:t xml:space="preserve"> como destinatários, um tipo de evento do módulo Garantia da Qualidade ou Controle de Documentos e, para os casos de gravação, o apoio do DBA.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46"/>
        <w:gridCol w:w="1337"/>
        <w:gridCol w:w="3796"/>
        <w:gridCol w:w="2552"/>
      </w:tblGrid>
      <w:tr>
        <w:trPr>
          <w:tblHeader/>
          <w:cantSplit/>
        </w:trPr>
        <w:tc>
          <w:tcPr>
            <w:tcW w:w="19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7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CT-PRI-ADM09-01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Editar de um tipo, configurar título, mensagem e um destinatário; salvar; disparar o evento no módulo</w:t>
            </w:r>
          </w:p>
        </w:tc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Destinatário recebe o aviso com a mensagem (RN-PRI-ADM09-001)</w:t>
            </w:r>
          </w:p>
        </w:tc>
      </w:tr>
      <w:tr>
        <w:trPr>
          <w:cantSplit/>
        </w:trPr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CT-PRI-ADM09-02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, abrir </w:t>
            </w:r>
            <w:r>
              <w:rPr>
                <w:sz w:val="18"/>
                <w:szCs w:val="20"/>
              </w:rPr>
              <w:t xml:space="preserve">gst_configurar_notificacao_ed</w:t>
            </w:r>
            <w:r>
              <w:rPr>
                <w:sz w:val="18"/>
                <w:szCs w:val="20"/>
              </w:rPr>
              <w:t xml:space="preserve"> pelo endereço e tentar salvar</w:t>
            </w:r>
          </w:p>
        </w:tc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o que abre e grava (RN-PRI-077)</w:t>
            </w:r>
          </w:p>
        </w:tc>
      </w:tr>
      <w:tr>
        <w:trPr>
          <w:cantSplit/>
        </w:trPr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CT-PRI-ADM09-03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DBA, abrir um tipo sem configuração e ver se o registro é criado</w:t>
            </w:r>
          </w:p>
        </w:tc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abrir grava (RN-PRI-ADM09-003)</w:t>
            </w:r>
          </w:p>
        </w:tc>
      </w:tr>
      <w:tr>
        <w:trPr>
          <w:cantSplit/>
        </w:trPr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CT-PRI-ADM09-04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os destinatários e olhar o histórico (com o DBA)</w:t>
            </w:r>
          </w:p>
        </w:tc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nada foi gravado (RN-PRI-055 e 070)</w:t>
            </w:r>
          </w:p>
        </w:tc>
      </w:tr>
      <w:tr>
        <w:trPr>
          <w:cantSplit/>
        </w:trPr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CT-PRI-ADM09-05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"Adicionar nível", deixar o prazo vazio e salvar; depois com prazo</w:t>
            </w:r>
          </w:p>
        </w:tc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clara com prazo vazio; segundo nível gravado com prazo (RN-PRI-ADM09-005)</w:t>
            </w:r>
          </w:p>
        </w:tc>
      </w:tr>
      <w:tr>
        <w:trPr>
          <w:cantSplit/>
        </w:trPr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CT-PRI-ADM09-06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dois usuários de mesmo nome (de teste), escolher o segundo e salvar</w:t>
            </w:r>
          </w:p>
        </w:tc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qual dos dois foi gravado (RN-PRI-ADM09-007)</w:t>
            </w:r>
          </w:p>
        </w:tc>
      </w:tr>
      <w:tr>
        <w:trPr>
          <w:cantSplit/>
        </w:trPr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CT-PRI-ADM09-07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um setor cujo nome tenha letras minúsculas e salvar</w:t>
            </w:r>
          </w:p>
        </w:tc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Setor gravado; registrar se some (RN-PRI-ADM09-007)</w:t>
            </w:r>
          </w:p>
        </w:tc>
      </w:tr>
      <w:tr>
        <w:trPr>
          <w:cantSplit/>
        </w:trPr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CT-PRI-ADM09-08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três vezes com "Notificar por Email" marcado e conferir as linhas de e-mail com o DBA</w:t>
            </w:r>
          </w:p>
        </w:tc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linha; registrar se há três (RN-PRI-ADM09-009)</w:t>
            </w:r>
          </w:p>
        </w:tc>
      </w:tr>
      <w:tr>
        <w:trPr>
          <w:cantSplit/>
        </w:trPr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CT-PRI-ADM09-09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Escrever uma mensagem com HTML e script de teste inofensivo</w:t>
            </w:r>
          </w:p>
        </w:tc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literal ou saneado; nenhum script executa</w:t>
            </w:r>
          </w:p>
        </w:tc>
      </w:tr>
      <w:tr>
        <w:trPr>
          <w:cantSplit/>
        </w:trPr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CT-PRI-ADM09-10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título e sem mensagem</w:t>
            </w:r>
          </w:p>
        </w:tc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claras</w:t>
            </w:r>
          </w:p>
        </w:tc>
      </w:tr>
      <w:tr>
        <w:trPr>
          <w:cantSplit/>
        </w:trPr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CT-PRI-ADM09-11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"Exibir Variáveis" e inserir uma variável na mensagem</w:t>
            </w:r>
          </w:p>
        </w:tc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Variável substituída no aviso</w:t>
            </w:r>
          </w:p>
        </w:tc>
      </w:tr>
      <w:tr>
        <w:trPr>
          <w:cantSplit/>
        </w:trPr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CT-PRI-ADM09-12</w:t>
            </w:r>
          </w:p>
        </w:tc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filtro de teclado do Título com maiúsculas e números</w:t>
            </w:r>
          </w:p>
        </w:tc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Aceitos; registrar o que o teclado barra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Configurar notificação: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Configurar notificação: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