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Tipo de notificação: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não tem artigo sobre avisos; o que ela cobra desta tela é controle de acesso e rastreio de quem altera os cadastros que mandam no processo. A tela atende em parte: a lista só abre com a função (CT-PRI-069), mas o filtro de módulo não funciona e os tipos de aviso são criados e alterados no banco sem nenhum registro de autoria.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33/2020 entre aspas são literais. O que não está entre aspas é leitura da área, a validar com Assuntos Regulatórios. Esta tela </w:t>
      </w:r>
      <w:r>
        <w:rPr>
          <w:b/>
          <w:bCs/>
          <w:szCs w:val="20"/>
        </w:rPr>
        <w:t xml:space="preserve">não foi testada numa tela real</w:t>
      </w:r>
      <w:r>
        <w:rPr>
          <w:szCs w:val="20"/>
        </w:rPr>
        <w:t xml:space="preserve">; a coluna "O que a tela faz hoje" vem do código, salvo onde um caso está citado.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45"/>
        <w:gridCol w:w="1297"/>
        <w:gridCol w:w="4604"/>
        <w:gridCol w:w="1285"/>
      </w:tblGrid>
      <w:tr>
        <w:trPr>
          <w:tblHeader/>
          <w:cantSplit/>
        </w:trPr>
        <w:tc>
          <w:tcPr>
            <w:tcW w:w="24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6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bloqueia quem não tem a função (CT-PRI-069, 05/10/2026). Falta saber qual função dá acesso, pois o código usado não aparece na árvore de funções do perfil. As regras de acesso estão na seção de segurança do documento da tela</w:t>
            </w:r>
          </w:p>
        </w:tc>
        <w:tc>
          <w:tcPr>
            <w:tcW w:w="1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"Acesso ao sistema e recursos de sistema;"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teste de 05/10/2026 só cobriu o acesso pelo endereço de quem não tem a função; não houve teste com perfil parcial (CT-PRI-ADM11-07)</w:t>
            </w:r>
          </w:p>
        </w:tc>
        <w:tc>
          <w:tcPr>
            <w:tcW w:w="1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125</w:t>
            </w:r>
          </w:p>
        </w:tc>
        <w:tc>
          <w:tcPr>
            <w:tcW w:w="4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altera nada. A tabela de tipos não guarda quem criou nem quando (GST_TIPO_EVENTO.sql:1-9); um tipo criado ou mudado pelo banco não deixa rastro. A alteração da configuração do tipo (tela 09) é analisada no documento daquela tela</w:t>
            </w:r>
          </w:p>
        </w:tc>
        <w:tc>
          <w:tcPr>
            <w:tcW w:w="1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124</w:t>
            </w:r>
          </w:p>
        </w:tc>
        <w:tc>
          <w:tcPr>
            <w:tcW w:w="4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o catálogo de avisos é o que garante que a ocorrência de qualidade chegue ao responsável; mudar um tipo sem rastro enfraquece a rastreabilidade do aviso. Não há registro de quem mudou</w:t>
            </w:r>
          </w:p>
        </w:tc>
        <w:tc>
          <w:tcPr>
            <w:tcW w:w="1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"Sistemas complexos precisam ser compreendidos, bem documentados, validados e controles adequados devem estar presentes."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117, § 2º</w:t>
            </w:r>
          </w:p>
        </w:tc>
        <w:tc>
          <w:tcPr>
            <w:tcW w:w="4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Módulo é mostrado e não funciona (gst_tipo_notificacao_lst.aspx.cs:35); a coluna Módulo fica vazia para alguns módulos; sobra código de outra tela. Não há documento do fornecedor sobre os tipos</w:t>
            </w:r>
          </w:p>
        </w:tc>
        <w:tc>
          <w:tcPr>
            <w:tcW w:w="1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documentos relacionados ao Sistema de Gestão da Qualidade Farmacêutica devem ser revisados regularmente e mantidos atualizados."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121</w:t>
            </w:r>
          </w:p>
        </w:tc>
        <w:tc>
          <w:tcPr>
            <w:tcW w:w="4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Leitura da área: o tipo de aviso de documento é o controle que chama quem revisa. A lista não mostra se o tipo está ativo e com destinatários, o que a área precisa para provar que o aviso funciona</w:t>
            </w:r>
          </w:p>
        </w:tc>
        <w:tc>
          <w:tcPr>
            <w:tcW w:w="1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4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"Mensagens de erro inequívocas."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6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Erros tratados mostram mensagem curta e detalhe; erros não tratados mostram a página técnica (DV-PRI-026, confirmado em outras telas)</w:t>
            </w:r>
          </w:p>
        </w:tc>
        <w:tc>
          <w:tcPr>
            <w:tcW w:w="1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Quais ocorrências de qualidade geram aviso e para quem? Em parte: a lista mostra os tipos, mas não os destinatários; hoje só o documento novo é disparado. 2. Quem pode criar ou mudar um tipo de aviso e como isso fica registrado? Não há tela e não há registro de autoria. 3. Como você sabe que o aviso está ativo? A lista só diz se existe configuração, mesmo de um evento inativo.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 para cadastrar e manter os tipos de aviso, com usuário, data e histórico de alteração (arts. 124 e 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Mostrar, na lista, se o tipo está ativo e quantos destinatários tem.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Fazer o filtro Módulo funcionar e mostrar o nome de todos os módulos.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Definir e documentar qual função de perfil dá acesso à lista e à configuração (hoje o código de função da lista não está na árvore de perfil).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Retirar o código de outras telas que sobrou no arquivo.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Garantir que cada ocorrência de qualidade prevista tenha um tipo configurado e um disparo (aprovação de lote, entrada de material, documento a revisar).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9.3.2.3: "Segurança incluindo controle de acesso;" e "Mensagens de erro inequívocas." entram como requisitos operacionais. O primeiro é atendido em parte (a lista bloqueia; falta esclarecer a função). Item 9.7.7.1.2: "Acesso ao sistema e recursos de sistema;" ficou sem teste de perfil parcial. O Guia 33 cita a IN nº 43/2019, hoje substituída pela IN nº 134/2022, que não está na pasta Documentação (04-conformidade-regulatoria.md).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Tipo de notificação: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Tipo de notificação: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