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Utensílios: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RN-PRI-0nn vêm de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 e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RN-PRI-CAD12-nnn são novas, desta página (CAD = menu Cadastros, 12 = número da tela). Nenhum teste de tela exercitou esta tela, por isso as regras ficam </w:t>
      </w:r>
      <w:r>
        <w:rPr>
          <w:b/>
          <w:bCs/>
          <w:szCs w:val="20"/>
        </w:rPr>
        <w:t xml:space="preserve">Extraídas</w:t>
      </w:r>
      <w:r>
        <w:rPr>
          <w:szCs w:val="20"/>
        </w:rPr>
        <w:t xml:space="preserve">; quando a regra foi validada em outro cadastro, a coluna Situação diz.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05"/>
        <w:gridCol w:w="2397"/>
        <w:gridCol w:w="3492"/>
        <w:gridCol w:w="1737"/>
      </w:tblGrid>
      <w:tr>
        <w:trPr>
          <w:tblHeader/>
          <w:cantSplit/>
        </w:trPr>
        <w:tc>
          <w:tcPr>
            <w:tcW w:w="20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7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RN-PRI-CAD12-001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Descrição, situação e fabricante são obrigatórios; os demais campos são opcionais.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utensilio_ed.aspx:63-67, 71-76 e 112-116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RN-PRI-CAD12-002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são gravados em maiúsculas (descrição, tag, patrimônio, número de série); a marca/modelo mantém a caixa digitada.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utensilio_ed.aspx.cs:246-250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RN-PRI-CAD12-003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tag</w:t>
            </w:r>
            <w:r>
              <w:rPr>
                <w:sz w:val="18"/>
                <w:szCs w:val="20"/>
              </w:rPr>
              <w:t xml:space="preserve"> não pode repetir entre os registros ativos e não excluídos; um registro inativo não bloqueia a tag.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dalUtensilio.cs:311-336; bllUtensilio.cs:65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RN-PRI-CAD12-004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número de série</w:t>
            </w:r>
            <w:r>
              <w:rPr>
                <w:sz w:val="18"/>
                <w:szCs w:val="20"/>
              </w:rPr>
              <w:t xml:space="preserve"> não pode repetir entre os registros não excluídos (ativos ou inativos).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dalUtensilio.cs:365-390; bllUtensilio.cs:77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RN-PRI-CAD12-005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patrimônio</w:t>
            </w:r>
            <w:r>
              <w:rPr>
                <w:sz w:val="18"/>
                <w:szCs w:val="20"/>
              </w:rPr>
              <w:t xml:space="preserve"> só é conferido na alteração; na inclusão a conferência está desligada (comentada).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bllUtensilio.cs:71 e 119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RN-PRI-CAD12-006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alteração, a tag, o patrimônio e o número de série só são conferidos quando o valor mudou; reativar um registro com tag repetida não é barrado.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bllUtensilio.cs:113, 119 e 125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RN-PRI-CAD12-007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início de operação não pode ser maior que a data final nem que hoje; a data final não pode ser maior que hoje.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utensilio_ed.aspx:125-126 e 136-137; utensilio_ed.aspx.cs:40-41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RN-PRI-060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gravar, o sistema pede confirmação; os campos obrigatórios só são cobrados depois do SIM.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utensilio_ed.aspx.cs:51-79 e 237-238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em outros cadastros, 05/10/2026)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RN-PRI-061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exige justificativa. A inclusão não exige.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utensilio_ed.aspx.cs:58-65 e 301; utensilio_ed.aspx:180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em Ambiente e Equipamento, 05/10/2026)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RN-PRI-070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deve exigir justificativa (decisão de 06/10/2026). </w:t>
            </w:r>
            <w:r>
              <w:rPr>
                <w:sz w:val="18"/>
                <w:b/>
                <w:bCs/>
                <w:szCs w:val="20"/>
              </w:rPr>
              <w:t xml:space="preserve">Esta tela não pede</w:t>
            </w:r>
            <w:r>
              <w:rPr>
                <w:sz w:val="18"/>
                <w:szCs w:val="20"/>
              </w:rPr>
              <w:t xml:space="preserve">: só a confirmação.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utensilio_lst.aspx.cs:133-137, 206-242 e 353-363; dalLogAlteracaoUtensilio.cs:190-202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falha foi confirmada em Ambiente e Equipamento, DV-PRI-009)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RN-PRI-051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registro usado em outro cadastro não pode ser excluído (só a conferência por chaves do banco do Principal).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bllUtensilio.cs:155; dalUtensilio.cs:288-309; pPossoExcluir.sql:61-91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em Ambiente, CT-PRI-095, 05/10/2026)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RN-PRI-052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deveria dizer qual registro impede; aqui a mensagem é genérica.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bllUtensilio.cs:157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(mensagem genérica vista em Ambiente, DV-PRI-011)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RN-PRI-050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 (LIXEIRA = 1), com usuário e data na própria tabela.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dalUtensilio.cs:268-286; TBL_UTENSILIO.sql:20-21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(lixeira validada em Ambiente, 06/10/2026)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RN-PRI-CAD12-008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registro inativo abre travado, com só Ativo e Justificativa liberados para reativar.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utensilio_ed.aspx.cs:151-161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RN-PRI-043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só consulta vê a tela sem o botão SALVAR. No formulário </w:t>
            </w:r>
            <w:r>
              <w:rPr>
                <w:sz w:val="18"/>
                <w:b/>
                <w:bCs/>
                <w:szCs w:val="20"/>
              </w:rPr>
              <w:t xml:space="preserve">novo</w:t>
            </w:r>
            <w:r>
              <w:rPr>
                <w:sz w:val="18"/>
                <w:szCs w:val="20"/>
              </w:rPr>
              <w:t xml:space="preserve"> nada é escondido.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utensilio_ed.aspx.cs:151-167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regra não foi atendida na tela de usuário, DV-PRI-023)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RN-PRI-CAD12-009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grava inclusão, exclusão e a alteração de situação, descrição, tag, patrimônio, modelo, número de série, datas de operação, fabricante, fornecedor e estrutura funcional, com usuário, valores e justificativa. </w:t>
            </w:r>
            <w:r>
              <w:rPr>
                <w:sz w:val="18"/>
                <w:b/>
                <w:bCs/>
                <w:szCs w:val="20"/>
              </w:rPr>
              <w:t xml:space="preserve">Não grava a data de fabricação.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dalLogAlteracaoUtensilio.cs:14-202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(RN-PRI-054 e 055 validadas em outros cadastros)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RN-PRI-065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Registros inativos deixam de aparecer nas listas de escolha dos outros cadastros; o já gravado continua visível.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dalUtensilio.cs:65-97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para Ambiente, CT-PRI-093, 05/10/2026)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RN-PRI-067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por descrição ignora maiúsculas; o tratamento de acentos depende do banco.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dalUtensilio.cs:28-31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(DV-PRI-008 nos cadastros testados)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RN-PRI-068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tem Imprimir e Excel, que respeitam o filtro.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utensilio_lst.aspx.cs:75-125; utensilio_rel.aspx.cs:29-75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em Ambiente, Equipamento e Pessoa jurídica)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RN-PRI-CAD12-010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aceita </w:t>
            </w:r>
            <w:r>
              <w:rPr>
                <w:sz w:val="18"/>
                <w:b/>
                <w:bCs/>
                <w:szCs w:val="20"/>
              </w:rPr>
              <w:t xml:space="preserve">uma</w:t>
            </w:r>
            <w:r>
              <w:rPr>
                <w:sz w:val="18"/>
                <w:szCs w:val="20"/>
              </w:rPr>
              <w:t xml:space="preserve"> estrutura funcional por registro (a árvore tem caixas de marcação, mas o código une as marcadas com hífen e converte em um número).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utensilio_ed.aspx.cs:215-230 e 258-260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falha com duas marcadas não foi testada)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RN-PRI-CAD12-011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serviço </w:t>
            </w:r>
            <w:r>
              <w:rPr>
                <w:sz w:val="18"/>
                <w:szCs w:val="20"/>
              </w:rPr>
              <w:t xml:space="preserve">api/Utensilio</w:t>
            </w:r>
            <w:r>
              <w:rPr>
                <w:sz w:val="18"/>
                <w:szCs w:val="20"/>
              </w:rPr>
              <w:t xml:space="preserve"> devolve código, descrição e tag dos utensílios ativos a qualquer chamador, sem conferência de usuário visível no controlador.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UtensilioController.cs:12-53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 no teste de segurança)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RN-PRI-CAD12-012</w:t>
            </w:r>
          </w:p>
        </w:tc>
        <w:tc>
          <w:tcPr>
            <w:tcW w:w="2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e a de Utilidades são o mesmo código com nomes trocados (páginas, regras, consultas e histórico).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utensilio_ed.aspx.cs e utilidade_ed.aspx.cs; bllUtensilio.cs e bllUtilidade.cs; dalUtensilio.cs e dalUtilidade.cs (comparação feita por script em 24/10/2026)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foi executado nesta tela. O plano de testes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) prevê, para os cadastros, os casos CT-PRI-090 a 097; eles foram executados em Ambiente, Equipamento e Pessoa jurídica em 05/10/2026 (</w:t>
      </w:r>
      <w:r>
        <w:rPr>
          <w:szCs w:val="20"/>
        </w:rPr>
        <w:t xml:space="preserve">execucao/2026-10-05/resultado.md</w:t>
      </w:r>
      <w:r>
        <w:rPr>
          <w:szCs w:val="20"/>
        </w:rPr>
        <w:t xml:space="preserve">, seção 6.8),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41"/>
        <w:gridCol w:w="3082"/>
        <w:gridCol w:w="3808"/>
      </w:tblGrid>
      <w:tr>
        <w:trPr>
          <w:tblHeader/>
          <w:cantSplit/>
        </w:trPr>
        <w:tc>
          <w:tcPr>
            <w:tcW w:w="27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0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8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a 097 (cadastros)</w:t>
            </w:r>
          </w:p>
        </w:tc>
        <w:tc>
          <w:tcPr>
            <w:tcW w:w="3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obrigatórios, alterar, inativar, excluir, dependentes, pesquisa, relatório</w:t>
            </w:r>
          </w:p>
        </w:tc>
        <w:tc>
          <w:tcPr>
            <w:tcW w:w="3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tela. Executados em Ambiente, Equipamento e Pessoa jurídica em 05/10/2026</w:t>
            </w:r>
          </w:p>
        </w:tc>
      </w:tr>
      <w:tr>
        <w:trPr>
          <w:cantSplit/>
        </w:trPr>
        <w:tc>
          <w:tcPr>
            <w:tcW w:w="2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 (Ambiente e Equipamento), 05/10/2026</w:t>
            </w:r>
          </w:p>
        </w:tc>
        <w:tc>
          <w:tcPr>
            <w:tcW w:w="3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sem dependentes</w:t>
            </w:r>
          </w:p>
        </w:tc>
        <w:tc>
          <w:tcPr>
            <w:tcW w:w="3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Equipamento e Ambiente: sem justificativa (DV-PRI-009). Mostra o que esperar desta tela</w:t>
            </w:r>
          </w:p>
        </w:tc>
      </w:tr>
      <w:tr>
        <w:trPr>
          <w:cantSplit/>
        </w:trPr>
        <w:tc>
          <w:tcPr>
            <w:tcW w:w="2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CT-PRI-060 a 071 (acesso por tela)</w:t>
            </w:r>
          </w:p>
        </w:tc>
        <w:tc>
          <w:tcPr>
            <w:tcW w:w="3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telas pelo endereço sem permissão</w:t>
            </w:r>
          </w:p>
        </w:tc>
        <w:tc>
          <w:tcPr>
            <w:tcW w:w="3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tela; nas telas de Administração a edição abriu sem permissão (DV-PRI-025, 05/10/2026)</w:t>
            </w:r>
          </w:p>
        </w:tc>
      </w:tr>
      <w:tr>
        <w:trPr>
          <w:cantSplit/>
        </w:trPr>
        <w:tc>
          <w:tcPr>
            <w:tcW w:w="2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CT-PRI-080 (trilha de auditoria)</w:t>
            </w:r>
          </w:p>
        </w:tc>
        <w:tc>
          <w:tcPr>
            <w:tcW w:w="3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inclusão, alteração e exclusão</w:t>
            </w:r>
          </w:p>
        </w:tc>
        <w:tc>
          <w:tcPr>
            <w:tcW w:w="3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tela; Falhou em Ambiente, DV-PRI-014</w:t>
            </w:r>
          </w:p>
        </w:tc>
      </w:tr>
      <w:tr>
        <w:trPr>
          <w:cantSplit/>
        </w:trPr>
        <w:tc>
          <w:tcPr>
            <w:tcW w:w="2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CT-PRI-100 a 103 (segurança da aplicação)</w:t>
            </w:r>
          </w:p>
        </w:tc>
        <w:tc>
          <w:tcPr>
            <w:tcW w:w="3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Apóstrofo, texto com código, página de erro</w:t>
            </w:r>
          </w:p>
        </w:tc>
        <w:tc>
          <w:tcPr>
            <w:tcW w:w="3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</w:t>
            </w:r>
          </w:p>
        </w:tc>
      </w:tr>
      <w:tr>
        <w:trPr>
          <w:cantSplit/>
        </w:trPr>
        <w:tc>
          <w:tcPr>
            <w:tcW w:w="2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CT-PRI-110 a 113 (carga)</w:t>
            </w:r>
          </w:p>
        </w:tc>
        <w:tc>
          <w:tcPr>
            <w:tcW w:w="3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 e limites</w:t>
            </w:r>
          </w:p>
        </w:tc>
        <w:tc>
          <w:tcPr>
            <w:tcW w:w="3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0 casos executados.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uma pessoa jurídica </w:t>
      </w:r>
      <w:r>
        <w:rPr>
          <w:szCs w:val="20"/>
        </w:rPr>
        <w:t xml:space="preserve">TESTE</w:t>
      </w:r>
      <w:r>
        <w:rPr>
          <w:szCs w:val="20"/>
        </w:rPr>
        <w:t xml:space="preserve"> do tipo Fabricante e outra do tipo Fornecedor; duas estruturas funcionais </w:t>
      </w:r>
      <w:r>
        <w:rPr>
          <w:szCs w:val="20"/>
        </w:rPr>
        <w:t xml:space="preserve">TESTE</w:t>
      </w:r>
      <w:r>
        <w:rPr>
          <w:szCs w:val="20"/>
        </w:rPr>
        <w:t xml:space="preserve">; perfil com todas as ações e perfil só de consulta.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93"/>
        <w:gridCol w:w="3579"/>
        <w:gridCol w:w="3659"/>
      </w:tblGrid>
      <w:tr>
        <w:trPr>
          <w:tblHeader/>
          <w:cantSplit/>
        </w:trPr>
        <w:tc>
          <w:tcPr>
            <w:tcW w:w="23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5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6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CT-PRI-CAD12-01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só com os obrigatórios (descrição e fabricante)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Grava, aparece na lista, histórico "INCLUSÃO DO REGISTRO"</w:t>
            </w:r>
          </w:p>
        </w:tc>
      </w:tr>
      <w:tr>
        <w:trPr>
          <w:cantSplit/>
        </w:trPr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CT-PRI-CAD12-02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todos os campos e uma estrutura funcional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Grava; o formulário reabre com os mesmos valores</w:t>
            </w:r>
          </w:p>
        </w:tc>
      </w:tr>
      <w:tr>
        <w:trPr>
          <w:cantSplit/>
        </w:trPr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CT-PRI-CAD12-03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cada obrigatório em branco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a mensagem do campo, depois do SIM</w:t>
            </w:r>
          </w:p>
        </w:tc>
      </w:tr>
      <w:tr>
        <w:trPr>
          <w:cantSplit/>
        </w:trPr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CT-PRI-CAD12-04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duas vezes a mesma tag e o mesmo número de série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"Tag já existe!" e "Número de série já existe!"</w:t>
            </w:r>
          </w:p>
        </w:tc>
      </w:tr>
      <w:tr>
        <w:trPr>
          <w:cantSplit/>
        </w:trPr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CT-PRI-CAD12-05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duas vezes o mesmo patrimônio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aceita na inclusão; anotar</w:t>
            </w:r>
          </w:p>
        </w:tc>
      </w:tr>
      <w:tr>
        <w:trPr>
          <w:cantSplit/>
        </w:trPr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CT-PRI-CAD12-06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Datas: início maior que o fim, fim futuro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a mensagem; anotar a regra da data futura</w:t>
            </w:r>
          </w:p>
        </w:tc>
      </w:tr>
      <w:tr>
        <w:trPr>
          <w:cantSplit/>
        </w:trPr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CT-PRI-CAD12-07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 "OUTROS"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Anotar se grava sem fabricante</w:t>
            </w:r>
          </w:p>
        </w:tc>
      </w:tr>
      <w:tr>
        <w:trPr>
          <w:cantSplit/>
        </w:trPr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CT-PRI-CAD12-08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duas estruturas funcionais na árvore e salvar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mensagem clara; no código: erro técnico</w:t>
            </w:r>
          </w:p>
        </w:tc>
      </w:tr>
      <w:tr>
        <w:trPr>
          <w:cantSplit/>
        </w:trPr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CT-PRI-CAD12-09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e sem justificativa; trocar a data de fabricação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recusa. A troca da data de fabricação não aparece no histórico</w:t>
            </w:r>
          </w:p>
        </w:tc>
      </w:tr>
      <w:tr>
        <w:trPr>
          <w:cantSplit/>
        </w:trPr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CT-PRI-CAD12-10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com justificativa e reabrir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travado; some das listas de escolha</w:t>
            </w:r>
          </w:p>
        </w:tc>
      </w:tr>
      <w:tr>
        <w:trPr>
          <w:cantSplit/>
        </w:trPr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CT-PRI-CAD12-11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livre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sem justificativa; sai da lista; tentar ver o histórico</w:t>
            </w:r>
          </w:p>
        </w:tc>
      </w:tr>
      <w:tr>
        <w:trPr>
          <w:cantSplit/>
        </w:trPr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CT-PRI-CAD12-12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utensílio ativo e conferir se ele aparece no lote padrão da Produção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na lista de utensílios do lote padrão (teste conjunto com a Produção)</w:t>
            </w:r>
          </w:p>
        </w:tc>
      </w:tr>
      <w:tr>
        <w:trPr>
          <w:cantSplit/>
        </w:trPr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CT-PRI-CAD12-13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código, parte da descrição, sem acento e com apóstrofo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correto; nenhum erro de banco (SEG-PRI-03)</w:t>
            </w:r>
          </w:p>
        </w:tc>
      </w:tr>
      <w:tr>
        <w:trPr>
          <w:cantSplit/>
        </w:trPr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CT-PRI-CAD12-14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com filtro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conteúdo da lista filtrada</w:t>
            </w:r>
          </w:p>
        </w:tc>
      </w:tr>
      <w:tr>
        <w:trPr>
          <w:cantSplit/>
        </w:trPr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CT-PRI-CAD12-15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com usuário só de consulta; formulário novo pelo endereço sem a função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 e sem SALVAR; anotar se o novo abre e salva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Cadastro de Utensílios: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Cadastro de Utensílios: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