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Utilidades: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13-utilidades.fluxo.json,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Pessoas jurídicas e estrutura funcional prontas: fabricante, fornecedor e a árvore da estrutura funcional existem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incluir ou abrir um registro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formulário: descrição, fabricante, datas, tag, número de série e a estrutura funcional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confirma, confere obrigatórios, tag e número de série repetidos e datas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SIM grava e escreve a linha do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 ou inativar com justificativa; excluir só com confirmação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nos outros cadastros e módulos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registro usado em outro cadastro não pode ser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aparece nas listas de escolha dos outros cadastros e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cadastrado, mas sai das listas de escolha; abre travado para reativação (utilidade_ed.aspx.cs:153-161).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 (lixeira)</w:t>
      </w:r>
      <w:r>
        <w:rPr>
          <w:szCs w:val="20"/>
        </w:rPr>
        <w:t xml:space="preserve">: some das listas; a tabela guarda usuário e data da exclusão (dalUtilidade.cs:268-286).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status de calibração ou qualificação nesta tela: a data de fim de operação é a única "situação" de ciclo de vida, e só pode ser uma data que já passou ou hoje (utilidade_ed.aspx:136-137).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 com usuário (dalLogAlteracaoUtilidade.cs:13-24).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mudado, com valor antigo, valor novo, usuário e justificativa (dalLogAlteracaoUtilidade.cs:26-186).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 com usuário e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(dalLogAlteracaoUtilidade.cs:189-201).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guarda usuário e data de criação, alteração e exclusão (TBL_UTILIDADE.sql:16-21).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da </w:t>
      </w:r>
      <w:r>
        <w:rPr>
          <w:b/>
          <w:bCs/>
          <w:szCs w:val="20"/>
        </w:rPr>
        <w:t xml:space="preserve">data de fabricação</w:t>
      </w:r>
      <w:r>
        <w:rPr>
          <w:szCs w:val="20"/>
        </w:rPr>
        <w:t xml:space="preserve"> não é registrada no histórico (dalLogAlteracaoUtilidade.cs:26-186 não tem esse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pelas telas (mesmo desenho do Ambiente, DV-PRI-014: a lista só traz LIXEIRA = 0, dalUtilidade.cs:19-21).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9"/>
        <w:gridCol w:w="2247"/>
        <w:gridCol w:w="2514"/>
        <w:gridCol w:w="2711"/>
      </w:tblGrid>
      <w:tr>
        <w:trPr>
          <w:tblHeader/>
          <w:cantSplit/>
        </w:trPr>
        <w:tc>
          <w:tcPr>
            <w:tcW w:w="2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(255), TAG, PATRIMONIO, MODELO, NUMERO_SERIE (30 cada), DATA_FABRICACAO, DATA_INICIO_OPERACAO, DATA_FIM_OPERACAO, ID_FABRICANTE, ID_FORNECEDOR, ID_ESTRUTURA_FUNCIONAL, ATIVO, LIXEIRA e as colunas de criação, alteração e exclusão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 ligam à pessoa jurídica (GBL_PJ); estrutura funcional liga a SIS_LOCAL; sem restrição de unicidade no banco para tag e número de série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TBL_UTILIDADE.sql:1-29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TBL_UTILIDADE_AMBIENTE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ID_AMBIENTE, ID_UTILIDADE, LIXEIRA e colunas de criação e exclusão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utilidade ao ambiente; gravada na tela de Ambientes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TBL_UTILIDADE_AMBIENTE.sql:1-13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estruturas funcionais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 do campo "Direção/Sub-Direção/Seção Proprietária"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TBL_UTILIDADE.sql:25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Fabricantes e fornecedores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escolha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dalPJ.cs:855-878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"TBL_UTILIDADE"</w:t>
            </w:r>
          </w:p>
        </w:tc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dalLogAlteracaoUtilidade.cs:11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7"/>
        <w:gridCol w:w="2974"/>
        <w:gridCol w:w="1363"/>
        <w:gridCol w:w="3727"/>
      </w:tblGrid>
      <w:tr>
        <w:trPr>
          <w:tblHeader/>
          <w:cantSplit/>
        </w:trPr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(Ambientes)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utilidades ativas no bloco "Utilidades do Ambiente"; vínculo gravado em TBL_UTILIDADE_AMBIENTE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ambiente_ed.aspx.cs:87-93; TBL_UTILIDADE_AMBIENTE.sql:1-13</w:t>
            </w:r>
          </w:p>
        </w:tc>
      </w:tr>
      <w:tr>
        <w:trPr>
          <w:cantSplit/>
        </w:trPr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da utilidade em qualificação, manutenção preventiva, manutenção corretiva e lote padrão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banco, cópia da classe de acesso a dados e serviço do Principal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qualificacao_ed.aspx.cs:81-84; manutencao_preventiva_ed.aspx.cs:49-50; lote_padrao_ed.aspx.cs:52; PrincipalService.cs:52-61; Hsolutions.Producao.DB/Synonyms/TBL_UTILIDADE.sql</w:t>
            </w:r>
          </w:p>
        </w:tc>
      </w:tr>
      <w:tr>
        <w:trPr>
          <w:cantSplit/>
        </w:trPr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Controle da Qualidade, Garantia da Qualidade, Comercial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referência a esta tabela nesses módulos (busca por nome)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Utilidades: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Utilidades: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