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Gerencial: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14461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07-conta-gerencial.fluxo.json,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Empresa cadastrada: existe uma pessoa jurídica do tipo Empresa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lista e incluir ou abrir uma conta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nome e empresa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aceitos? (decisão): confirma, confere obrigatórios e nome repetido na empresa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 e gravar: SIM grava e escreve o histórico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Alterar, inativar ou excluir com justificativa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Uso no Local físico e no Patrimônio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 exclusão não confere locais físicos ligados.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: a conta é aceita na busca do Local físico e no Patrimônio.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: continua cadastrada; abre travada para reativação (conta_gerencial_ed.aspx.cs:57-71). A busca de contas do Local físico </w:t>
      </w:r>
      <w:r>
        <w:rPr>
          <w:b/>
          <w:bCs/>
          <w:szCs w:val="20"/>
        </w:rPr>
        <w:t xml:space="preserve">não filtra</w:t>
      </w:r>
      <w:r>
        <w:rPr>
          <w:szCs w:val="20"/>
        </w:rPr>
        <w:t xml:space="preserve"> pela situação (wsAutoComplete.asmx.cs:106-120; PessoaJuridicaRepository.cs:267-271), então uma conta inativa ainda pode ser escolhida (ponto a confirmar no teste).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Excluída (lixeira)</w:t>
      </w:r>
      <w:r>
        <w:rPr>
          <w:szCs w:val="20"/>
        </w:rPr>
        <w:t xml:space="preserve">: some da lista e da busca; a tabela guarda usuário e data da exclusão (TBL_CONTA_GERENCIAL.sql:6 e 11-12).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aprovação, validade nem versão.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"INCLUSÃO DO REGISTRO" com usuário (conta_gerencial_ed.aspx.cs:257-271).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(Ativo, Descrição, Conta Gerencial = empresa), com valor antigo, valor novo, usuário e justificativa (conta_gerencial_ed.aspx.cs:273-326).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"EXCLUSÃO DO REGISTRO" com usuário e justificativa (conta_gerencial_lst.aspx.cs:399-414).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 registro excluído não pode ser consultado pelas telas (mesmo desenho do Ambiente, DV-PRI-014: a lista só traz registros fora da lixeira, PessoaJuridicaRepository.cs:175).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comparação do nome no histórico usa o texto digitado, sem passar para maiúsculas, contra o nome gravado em maiúsculas; uma alteração só de caixa pode gerar uma linha de "DESCRIÇÃO" sem mudança real (conta_gerencial_ed.aspx.cs:199 e 294; PessoaJuridica.cs:372; inferência).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limita cada valor a 255 caracteres (SEG-PRI-13, regra geral do módulo).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50"/>
        <w:gridCol w:w="2049"/>
        <w:gridCol w:w="2352"/>
        <w:gridCol w:w="3080"/>
      </w:tblGrid>
      <w:tr>
        <w:trPr>
          <w:tblHeader/>
          <w:cantSplit/>
        </w:trPr>
        <w:tc>
          <w:tcPr>
            <w:tcW w:w="21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0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TBL_CONTA_GERENCIAL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CONTA_GERENCIAL (50), CODIGO_PJ, ATIVO, LIXEIRA e colunas de criação, alteração e exclusão</w:t>
            </w:r>
          </w:p>
        </w:tc>
        <w:tc>
          <w:tcPr>
            <w:tcW w:w="2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CODIGO_PJ liga a GBL_PJ (pessoa jurídica); o usuário de exclusão liga a SIS_USUARIO; sem restrição de unicidade de nome no banco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TBL_CONTA_GERENCIAL.sql:1-16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TBL_LOCAL_FISICO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ID_CONTA_GERENCIAL</w:t>
            </w:r>
          </w:p>
        </w:tc>
        <w:tc>
          <w:tcPr>
            <w:tcW w:w="2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local físico liga a uma conta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TBL_LOCAL_FISICO.sql:4 e 17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Empresas</w:t>
            </w:r>
          </w:p>
        </w:tc>
        <w:tc>
          <w:tcPr>
            <w:tcW w:w="2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escolha da empresa (tipo Empresa)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wsAutoComplete.asmx.cs:93-104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</w:t>
            </w:r>
          </w:p>
        </w:tc>
        <w:tc>
          <w:tcPr>
            <w:tcW w:w="2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 "TBL_CONTA_GERENCIAL"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conta_gerencial_ed.aspx.cs:259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93"/>
        <w:gridCol w:w="2145"/>
        <w:gridCol w:w="1732"/>
        <w:gridCol w:w="3661"/>
      </w:tblGrid>
      <w:tr>
        <w:trPr>
          <w:tblHeader/>
          <w:cantSplit/>
        </w:trPr>
        <w:tc>
          <w:tcPr>
            <w:tcW w:w="20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1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6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(Local físico)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da conta gerencial de cada local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base; busca por texto</w:t>
            </w:r>
          </w:p>
        </w:tc>
        <w:tc>
          <w:tcPr>
            <w:tcW w:w="3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local_fisico_ed.aspx.cs:77-91; wsAutoComplete.asmx.cs:106-120</w:t>
            </w:r>
          </w:p>
        </w:tc>
      </w:tr>
      <w:tr>
        <w:trPr>
          <w:cantSplit/>
        </w:trPr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Patrimônio (fora do escopo)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Bens, transferências, baixas, reavaliações, depreciação e inventário usam a conta gerencial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Biblioteca compartilhada</w:t>
            </w:r>
          </w:p>
        </w:tc>
        <w:tc>
          <w:tcPr>
            <w:tcW w:w="3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HSolutions.Patrimonio.Domain: Transferencia.cs, Depreciacao.cs; HSolutions.Patrimonio.Context: BemConfiguration.cs</w:t>
            </w:r>
          </w:p>
        </w:tc>
      </w:tr>
      <w:tr>
        <w:trPr>
          <w:cantSplit/>
        </w:trPr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Estoque, Controle da Qualidade, Garantia da Qualidade, Comercial, Rastreabilidade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referência a esta tabela nesses módulos (busca por nome)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Conta Gerencial: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Conta Gerencial: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